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B8F28" w14:textId="23D812C1" w:rsidR="00037762" w:rsidRDefault="00EA0887" w:rsidP="00EA0887">
      <w:pPr>
        <w:ind w:left="3600"/>
      </w:pPr>
      <w:r>
        <w:rPr>
          <w:noProof/>
        </w:rPr>
        <mc:AlternateContent>
          <mc:Choice Requires="wps">
            <w:drawing>
              <wp:anchor distT="45720" distB="45720" distL="114300" distR="114300" simplePos="0" relativeHeight="251659264" behindDoc="0" locked="0" layoutInCell="1" allowOverlap="1" wp14:anchorId="16B36D13" wp14:editId="75FE251B">
                <wp:simplePos x="0" y="0"/>
                <wp:positionH relativeFrom="margin">
                  <wp:align>left</wp:align>
                </wp:positionH>
                <wp:positionV relativeFrom="paragraph">
                  <wp:posOffset>0</wp:posOffset>
                </wp:positionV>
                <wp:extent cx="3242945" cy="1404620"/>
                <wp:effectExtent l="0" t="0" r="1460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1404620"/>
                        </a:xfrm>
                        <a:prstGeom prst="rect">
                          <a:avLst/>
                        </a:prstGeom>
                        <a:solidFill>
                          <a:srgbClr val="FFFFFF"/>
                        </a:solidFill>
                        <a:ln w="9525">
                          <a:solidFill>
                            <a:srgbClr val="000000"/>
                          </a:solidFill>
                          <a:miter lim="800000"/>
                          <a:headEnd/>
                          <a:tailEnd/>
                        </a:ln>
                      </wps:spPr>
                      <wps:txbx>
                        <w:txbxContent>
                          <w:p w14:paraId="4E7C3EC1" w14:textId="28A66CCE" w:rsidR="00EA0887" w:rsidRDefault="00EA0887" w:rsidP="00EA0887">
                            <w:pPr>
                              <w:pStyle w:val="Title"/>
                              <w:jc w:val="center"/>
                            </w:pPr>
                            <w:r>
                              <w:t xml:space="preserve">Data Stewardship Principles </w:t>
                            </w:r>
                          </w:p>
                          <w:p w14:paraId="0F805A91" w14:textId="77777777" w:rsidR="00EA0887" w:rsidRDefault="00EA0887" w:rsidP="00EA0887">
                            <w:pPr>
                              <w:pStyle w:val="Title"/>
                              <w:jc w:val="center"/>
                            </w:pPr>
                            <w:proofErr w:type="gramStart"/>
                            <w:r>
                              <w:t>for</w:t>
                            </w:r>
                            <w:proofErr w:type="gramEnd"/>
                            <w:r>
                              <w:t xml:space="preserve"> Lawful, Fair and Responsible Use</w:t>
                            </w:r>
                          </w:p>
                          <w:p w14:paraId="4D85BD0A" w14:textId="77777777" w:rsidR="00EA0887" w:rsidRDefault="00EA0887" w:rsidP="00EA0887">
                            <w:pPr>
                              <w:jc w:val="center"/>
                              <w:rPr>
                                <w:i/>
                              </w:rPr>
                            </w:pPr>
                          </w:p>
                          <w:p w14:paraId="2BDC0668" w14:textId="2F3CF7DB" w:rsidR="00EA0887" w:rsidRDefault="00F25924" w:rsidP="00EA0887">
                            <w:pPr>
                              <w:jc w:val="center"/>
                            </w:pPr>
                            <w:r>
                              <w:rPr>
                                <w:i/>
                              </w:rPr>
                              <w:t>Near Final</w:t>
                            </w:r>
                            <w:r w:rsidR="00EA0887">
                              <w:rPr>
                                <w:i/>
                              </w:rPr>
                              <w:t xml:space="preserve"> </w:t>
                            </w:r>
                            <w:r>
                              <w:fldChar w:fldCharType="begin"/>
                            </w:r>
                            <w:r>
                              <w:instrText xml:space="preserve"> SAVEDATE  \@ "MMMM d, yyyy"  \* MERGEFORMAT </w:instrText>
                            </w:r>
                            <w:r>
                              <w:fldChar w:fldCharType="separate"/>
                            </w:r>
                            <w:r>
                              <w:rPr>
                                <w:noProof/>
                              </w:rPr>
                              <w:t xml:space="preserve">October 28, </w:t>
                            </w:r>
                            <w:r>
                              <w:rPr>
                                <w:noProof/>
                              </w:rPr>
                              <w:t>2019</w:t>
                            </w:r>
                            <w: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B36D13" id="_x0000_t202" coordsize="21600,21600" o:spt="202" path="m,l,21600r21600,l21600,xe">
                <v:stroke joinstyle="miter"/>
                <v:path gradientshapeok="t" o:connecttype="rect"/>
              </v:shapetype>
              <v:shape id="Text Box 2" o:spid="_x0000_s1026" type="#_x0000_t202" style="position:absolute;left:0;text-align:left;margin-left:0;margin-top:0;width:255.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">
                <v:textbox style="mso-fit-shape-to-text:t">
                  <w:txbxContent>
                    <w:p w14:paraId="4E7C3EC1" w14:textId="28A66CCE" w:rsidR="00EA0887" w:rsidRDefault="00EA0887" w:rsidP="00EA0887">
                      <w:pPr>
                        <w:pStyle w:val="Title"/>
                        <w:jc w:val="center"/>
                      </w:pPr>
                      <w:r>
                        <w:t xml:space="preserve">Data Stewardship Principles </w:t>
                      </w:r>
                    </w:p>
                    <w:p w14:paraId="0F805A91" w14:textId="77777777" w:rsidR="00EA0887" w:rsidRDefault="00EA0887" w:rsidP="00EA0887">
                      <w:pPr>
                        <w:pStyle w:val="Title"/>
                        <w:jc w:val="center"/>
                      </w:pPr>
                      <w:proofErr w:type="gramStart"/>
                      <w:r>
                        <w:t>for</w:t>
                      </w:r>
                      <w:proofErr w:type="gramEnd"/>
                      <w:r>
                        <w:t xml:space="preserve"> Lawful, Fair and Responsible Use</w:t>
                      </w:r>
                    </w:p>
                    <w:p w14:paraId="4D85BD0A" w14:textId="77777777" w:rsidR="00EA0887" w:rsidRDefault="00EA0887" w:rsidP="00EA0887">
                      <w:pPr>
                        <w:jc w:val="center"/>
                        <w:rPr>
                          <w:i/>
                        </w:rPr>
                      </w:pPr>
                    </w:p>
                    <w:p w14:paraId="2BDC0668" w14:textId="2F3CF7DB" w:rsidR="00EA0887" w:rsidRDefault="00F25924" w:rsidP="00EA0887">
                      <w:pPr>
                        <w:jc w:val="center"/>
                      </w:pPr>
                      <w:r>
                        <w:rPr>
                          <w:i/>
                        </w:rPr>
                        <w:t>Near Final</w:t>
                      </w:r>
                      <w:r w:rsidR="00EA0887">
                        <w:rPr>
                          <w:i/>
                        </w:rPr>
                        <w:t xml:space="preserve"> </w:t>
                      </w:r>
                      <w:r>
                        <w:fldChar w:fldCharType="begin"/>
                      </w:r>
                      <w:r>
                        <w:instrText xml:space="preserve"> SAVEDATE  \@ "MMMM d, yyyy"  \* MERGEFORMAT </w:instrText>
                      </w:r>
                      <w:r>
                        <w:fldChar w:fldCharType="separate"/>
                      </w:r>
                      <w:r>
                        <w:rPr>
                          <w:noProof/>
                        </w:rPr>
                        <w:t xml:space="preserve">October 28, </w:t>
                      </w:r>
                      <w:r>
                        <w:rPr>
                          <w:noProof/>
                        </w:rPr>
                        <w:t>2019</w:t>
                      </w:r>
                      <w:r>
                        <w:fldChar w:fldCharType="end"/>
                      </w:r>
                    </w:p>
                  </w:txbxContent>
                </v:textbox>
                <w10:wrap type="square" anchorx="margin"/>
              </v:shape>
            </w:pict>
          </mc:Fallback>
        </mc:AlternateContent>
      </w:r>
      <w:r>
        <w:tab/>
      </w:r>
      <w:r>
        <w:tab/>
      </w:r>
      <w:r>
        <w:tab/>
      </w:r>
      <w:bookmarkStart w:id="0" w:name="_GoBack"/>
      <w:bookmarkEnd w:id="0"/>
      <w:r w:rsidR="00D37EF7">
        <w:rPr>
          <w:noProof/>
        </w:rPr>
        <w:drawing>
          <wp:inline distT="0" distB="0" distL="0" distR="0" wp14:anchorId="7F526FC6" wp14:editId="3B4DFED9">
            <wp:extent cx="3509963" cy="253365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Style w:val="TableGrid"/>
        <w:tblW w:w="0" w:type="auto"/>
        <w:tblLayout w:type="fixed"/>
        <w:tblLook w:val="04A0" w:firstRow="1" w:lastRow="0" w:firstColumn="1" w:lastColumn="0" w:noHBand="0" w:noVBand="1"/>
      </w:tblPr>
      <w:tblGrid>
        <w:gridCol w:w="2155"/>
        <w:gridCol w:w="4680"/>
        <w:gridCol w:w="3651"/>
        <w:gridCol w:w="2464"/>
      </w:tblGrid>
      <w:tr w:rsidR="00037762" w:rsidRPr="00A54F23" w14:paraId="6F3DC75C" w14:textId="77777777" w:rsidTr="00EA0887">
        <w:tc>
          <w:tcPr>
            <w:tcW w:w="2155" w:type="dxa"/>
          </w:tcPr>
          <w:p w14:paraId="0CBFA948" w14:textId="77777777" w:rsidR="00037762" w:rsidRPr="00A54F23" w:rsidRDefault="00037762">
            <w:pPr>
              <w:rPr>
                <w:rFonts w:cstheme="minorHAnsi"/>
              </w:rPr>
            </w:pPr>
            <w:r w:rsidRPr="00A54F23">
              <w:rPr>
                <w:rFonts w:cstheme="minorHAnsi"/>
                <w:color w:val="2E75B5"/>
                <w:sz w:val="28"/>
                <w:szCs w:val="28"/>
              </w:rPr>
              <w:t>Principle</w:t>
            </w:r>
          </w:p>
        </w:tc>
        <w:tc>
          <w:tcPr>
            <w:tcW w:w="4680" w:type="dxa"/>
          </w:tcPr>
          <w:p w14:paraId="2FCDE807" w14:textId="77777777" w:rsidR="00037762" w:rsidRPr="00EA0887" w:rsidRDefault="00037762">
            <w:pPr>
              <w:rPr>
                <w:rFonts w:cstheme="minorHAnsi"/>
                <w:color w:val="2E75B5"/>
                <w:sz w:val="20"/>
                <w:szCs w:val="20"/>
              </w:rPr>
            </w:pPr>
            <w:r w:rsidRPr="00EA0887">
              <w:rPr>
                <w:rFonts w:cstheme="minorHAnsi"/>
                <w:color w:val="2E75B5"/>
                <w:sz w:val="20"/>
                <w:szCs w:val="20"/>
              </w:rPr>
              <w:t>Description</w:t>
            </w:r>
          </w:p>
        </w:tc>
        <w:tc>
          <w:tcPr>
            <w:tcW w:w="3651" w:type="dxa"/>
          </w:tcPr>
          <w:p w14:paraId="094B2937" w14:textId="77777777" w:rsidR="00037762" w:rsidRPr="00A54F23" w:rsidRDefault="00037762">
            <w:pPr>
              <w:rPr>
                <w:rFonts w:cstheme="minorHAnsi"/>
              </w:rPr>
            </w:pPr>
            <w:r w:rsidRPr="00A54F23">
              <w:rPr>
                <w:rFonts w:cstheme="minorHAnsi"/>
                <w:color w:val="2E75B5"/>
                <w:sz w:val="28"/>
                <w:szCs w:val="28"/>
              </w:rPr>
              <w:t>Mandate</w:t>
            </w:r>
          </w:p>
        </w:tc>
        <w:tc>
          <w:tcPr>
            <w:tcW w:w="2464" w:type="dxa"/>
          </w:tcPr>
          <w:p w14:paraId="2378E033" w14:textId="77777777" w:rsidR="00037762" w:rsidRPr="00A54F23" w:rsidRDefault="00037762" w:rsidP="00037762">
            <w:pPr>
              <w:rPr>
                <w:rFonts w:cstheme="minorHAnsi"/>
              </w:rPr>
            </w:pPr>
            <w:r w:rsidRPr="00A54F23">
              <w:rPr>
                <w:rFonts w:cstheme="minorHAnsi"/>
                <w:color w:val="2E75B5"/>
                <w:sz w:val="28"/>
                <w:szCs w:val="28"/>
              </w:rPr>
              <w:t>Compliance</w:t>
            </w:r>
          </w:p>
        </w:tc>
      </w:tr>
      <w:tr w:rsidR="00EE01E3" w:rsidRPr="00A54F23" w14:paraId="167DAB39" w14:textId="77777777" w:rsidTr="00EA0887">
        <w:tc>
          <w:tcPr>
            <w:tcW w:w="2155" w:type="dxa"/>
          </w:tcPr>
          <w:p w14:paraId="7F500099" w14:textId="77777777" w:rsidR="00D37EF7" w:rsidRDefault="00D37EF7" w:rsidP="00EE01E3">
            <w:pPr>
              <w:pStyle w:val="NormalWeb"/>
              <w:spacing w:before="0" w:beforeAutospacing="0" w:after="0" w:afterAutospacing="0"/>
              <w:rPr>
                <w:rFonts w:asciiTheme="minorHAnsi" w:hAnsiTheme="minorHAnsi" w:cstheme="minorHAnsi"/>
                <w:b/>
                <w:color w:val="3FBBE5"/>
              </w:rPr>
            </w:pPr>
          </w:p>
          <w:p w14:paraId="52E441DF" w14:textId="66A91323" w:rsidR="00EE01E3" w:rsidRDefault="00EE01E3" w:rsidP="00EE01E3">
            <w:pPr>
              <w:pStyle w:val="NormalWeb"/>
              <w:spacing w:before="0" w:beforeAutospacing="0" w:after="0" w:afterAutospacing="0"/>
              <w:rPr>
                <w:rFonts w:asciiTheme="minorHAnsi" w:hAnsiTheme="minorHAnsi" w:cstheme="minorHAnsi"/>
                <w:b/>
                <w:bCs/>
                <w:color w:val="3FBBE5"/>
              </w:rPr>
            </w:pPr>
            <w:r w:rsidRPr="00EE01E3">
              <w:rPr>
                <w:rFonts w:asciiTheme="minorHAnsi" w:hAnsiTheme="minorHAnsi" w:cstheme="minorHAnsi"/>
                <w:b/>
                <w:color w:val="3FBBE5"/>
              </w:rPr>
              <w:t>DATA</w:t>
            </w:r>
            <w:r w:rsidR="000C5A09">
              <w:rPr>
                <w:rFonts w:asciiTheme="minorHAnsi" w:hAnsiTheme="minorHAnsi" w:cstheme="minorHAnsi"/>
                <w:b/>
                <w:color w:val="3FBBE5"/>
              </w:rPr>
              <w:t xml:space="preserve"> RETENTION &amp;</w:t>
            </w:r>
            <w:r w:rsidRPr="00EE01E3">
              <w:rPr>
                <w:rFonts w:asciiTheme="minorHAnsi" w:hAnsiTheme="minorHAnsi" w:cstheme="minorHAnsi"/>
                <w:b/>
                <w:color w:val="3FBBE5"/>
              </w:rPr>
              <w:t xml:space="preserve"> MINIMIZATION</w:t>
            </w:r>
          </w:p>
        </w:tc>
        <w:tc>
          <w:tcPr>
            <w:tcW w:w="4680" w:type="dxa"/>
          </w:tcPr>
          <w:p w14:paraId="349A4C4C" w14:textId="77777777" w:rsidR="00D37EF7" w:rsidRPr="00EA0887" w:rsidRDefault="00D37EF7" w:rsidP="00D37EF7">
            <w:pPr>
              <w:pStyle w:val="NormalWeb"/>
              <w:spacing w:before="0" w:beforeAutospacing="0" w:after="240" w:afterAutospacing="0"/>
              <w:rPr>
                <w:rFonts w:ascii="Calibri" w:hAnsi="Calibri" w:cs="Calibri"/>
                <w:color w:val="000000"/>
                <w:sz w:val="20"/>
                <w:szCs w:val="20"/>
              </w:rPr>
            </w:pPr>
            <w:r w:rsidRPr="00EA0887">
              <w:rPr>
                <w:rFonts w:ascii="Calibri" w:hAnsi="Calibri" w:cs="Calibri"/>
                <w:color w:val="000000"/>
                <w:sz w:val="20"/>
                <w:szCs w:val="20"/>
              </w:rPr>
              <w:t>Data access, analysis or other use should be kept to the minimum amount necessary to fulfill its purpose.</w:t>
            </w:r>
          </w:p>
          <w:p w14:paraId="67C1B564" w14:textId="77777777" w:rsidR="00B2085A" w:rsidRPr="00EA0887" w:rsidRDefault="00D37EF7" w:rsidP="00EE01E3">
            <w:pPr>
              <w:pStyle w:val="NormalWeb"/>
              <w:spacing w:after="240"/>
              <w:rPr>
                <w:rFonts w:ascii="Calibri" w:hAnsi="Calibri" w:cs="Calibri"/>
                <w:color w:val="000000"/>
                <w:sz w:val="20"/>
                <w:szCs w:val="20"/>
              </w:rPr>
            </w:pPr>
            <w:r w:rsidRPr="00EA0887">
              <w:rPr>
                <w:rFonts w:ascii="Calibri" w:hAnsi="Calibri" w:cs="Calibri"/>
                <w:color w:val="000000"/>
                <w:sz w:val="20"/>
                <w:szCs w:val="20"/>
              </w:rPr>
              <w:t xml:space="preserve">Any retention of data should have a legitimate and fair basis, including beyond the purposes for which access to the data was originally granted, to ensure that no extra or just-in-case data set is stored. Any data retention should be also considered in light of the potential risks, harms and benefits. The data should be permanently deleted upon conclusion of the time period needed to fulfill its purpose, unless its extended retention is justified as mentioned in this Section above. Any deletion of data should be done in an appropriate </w:t>
            </w:r>
          </w:p>
          <w:p w14:paraId="19BFFBDB" w14:textId="21CF581F" w:rsidR="00EE01E3" w:rsidRPr="00EA0887" w:rsidRDefault="00EE01E3" w:rsidP="00EE01E3">
            <w:pPr>
              <w:pStyle w:val="NormalWeb"/>
              <w:spacing w:after="240"/>
              <w:rPr>
                <w:rFonts w:asciiTheme="minorHAnsi" w:hAnsiTheme="minorHAnsi" w:cstheme="minorHAnsi"/>
                <w:sz w:val="20"/>
                <w:szCs w:val="20"/>
              </w:rPr>
            </w:pPr>
          </w:p>
        </w:tc>
        <w:tc>
          <w:tcPr>
            <w:tcW w:w="3651" w:type="dxa"/>
          </w:tcPr>
          <w:p w14:paraId="752DACFD" w14:textId="1E4A0042" w:rsidR="00E86FAB" w:rsidRPr="00A54F23" w:rsidRDefault="00D37EF7" w:rsidP="00E86FAB">
            <w:pPr>
              <w:pStyle w:val="ListParagraph"/>
              <w:numPr>
                <w:ilvl w:val="0"/>
                <w:numId w:val="9"/>
              </w:numPr>
              <w:rPr>
                <w:rFonts w:cstheme="minorHAnsi"/>
                <w:sz w:val="20"/>
                <w:szCs w:val="20"/>
              </w:rPr>
            </w:pPr>
            <w:r w:rsidRPr="00A54F23">
              <w:rPr>
                <w:rFonts w:cstheme="minorHAnsi"/>
                <w:sz w:val="20"/>
                <w:szCs w:val="20"/>
              </w:rPr>
              <w:t>Consistent with the record retention schedules currently required by law, state agencies shall examine their data retention practices and retain personal information only as long as needed to carry out the purpose for which it was originally collected, or the minimum period required by law.  (</w:t>
            </w:r>
            <w:r w:rsidRPr="00A54F23">
              <w:rPr>
                <w:rFonts w:cstheme="minorHAnsi"/>
                <w:i/>
                <w:iCs/>
                <w:sz w:val="20"/>
                <w:szCs w:val="20"/>
              </w:rPr>
              <w:t xml:space="preserve">Executive Order </w:t>
            </w:r>
            <w:hyperlink r:id="rId17" w:history="1">
              <w:r w:rsidRPr="00A54F23">
                <w:rPr>
                  <w:rStyle w:val="Hyperlink"/>
                  <w:rFonts w:cstheme="minorHAnsi"/>
                  <w:i/>
                  <w:iCs/>
                  <w:sz w:val="20"/>
                  <w:szCs w:val="20"/>
                </w:rPr>
                <w:t>16-01</w:t>
              </w:r>
            </w:hyperlink>
            <w:r w:rsidRPr="00A54F23">
              <w:rPr>
                <w:rFonts w:cstheme="minorHAnsi"/>
                <w:i/>
                <w:iCs/>
                <w:sz w:val="20"/>
                <w:szCs w:val="20"/>
              </w:rPr>
              <w:t>)</w:t>
            </w:r>
          </w:p>
        </w:tc>
        <w:tc>
          <w:tcPr>
            <w:tcW w:w="2464" w:type="dxa"/>
          </w:tcPr>
          <w:p w14:paraId="0D6E3BD5" w14:textId="77777777" w:rsidR="00D37EF7" w:rsidRPr="00A54F23" w:rsidRDefault="00D37EF7" w:rsidP="00D37EF7">
            <w:pPr>
              <w:numPr>
                <w:ilvl w:val="0"/>
                <w:numId w:val="1"/>
              </w:numPr>
              <w:ind w:left="540"/>
              <w:textAlignment w:val="center"/>
              <w:rPr>
                <w:rFonts w:eastAsia="Times New Roman" w:cstheme="minorHAnsi"/>
                <w:sz w:val="20"/>
                <w:szCs w:val="20"/>
              </w:rPr>
            </w:pPr>
            <w:r w:rsidRPr="00037762">
              <w:rPr>
                <w:rFonts w:eastAsia="Times New Roman" w:cstheme="minorHAnsi"/>
                <w:sz w:val="20"/>
                <w:szCs w:val="20"/>
              </w:rPr>
              <w:t>Have a data map (</w:t>
            </w:r>
            <w:hyperlink r:id="rId18" w:history="1">
              <w:r w:rsidRPr="00A54F23">
                <w:rPr>
                  <w:rFonts w:eastAsia="Times New Roman" w:cstheme="minorHAnsi"/>
                  <w:color w:val="0000FF"/>
                  <w:sz w:val="20"/>
                  <w:szCs w:val="20"/>
                  <w:u w:val="single"/>
                </w:rPr>
                <w:t>Checklist</w:t>
              </w:r>
            </w:hyperlink>
            <w:r w:rsidRPr="00037762">
              <w:rPr>
                <w:rFonts w:eastAsia="Times New Roman" w:cstheme="minorHAnsi"/>
                <w:sz w:val="20"/>
                <w:szCs w:val="20"/>
              </w:rPr>
              <w:t>)</w:t>
            </w:r>
          </w:p>
          <w:p w14:paraId="58FA205C" w14:textId="77777777" w:rsidR="00D37EF7" w:rsidRPr="00A54F23" w:rsidRDefault="00D37EF7" w:rsidP="00D37EF7">
            <w:pPr>
              <w:numPr>
                <w:ilvl w:val="0"/>
                <w:numId w:val="1"/>
              </w:numPr>
              <w:ind w:left="540"/>
              <w:textAlignment w:val="center"/>
              <w:rPr>
                <w:rFonts w:eastAsia="Times New Roman" w:cstheme="minorHAnsi"/>
                <w:sz w:val="20"/>
                <w:szCs w:val="20"/>
              </w:rPr>
            </w:pPr>
            <w:r w:rsidRPr="00A54F23">
              <w:rPr>
                <w:rFonts w:eastAsia="Times New Roman" w:cstheme="minorHAnsi"/>
                <w:sz w:val="20"/>
                <w:szCs w:val="20"/>
              </w:rPr>
              <w:t>Follow Retention requirements</w:t>
            </w:r>
          </w:p>
          <w:p w14:paraId="0EB85C4A" w14:textId="77777777" w:rsidR="00D37EF7" w:rsidRPr="00A54F23" w:rsidRDefault="00D37EF7" w:rsidP="00D37EF7">
            <w:pPr>
              <w:numPr>
                <w:ilvl w:val="0"/>
                <w:numId w:val="1"/>
              </w:numPr>
              <w:ind w:left="540"/>
              <w:textAlignment w:val="center"/>
              <w:rPr>
                <w:rFonts w:eastAsia="Times New Roman" w:cstheme="minorHAnsi"/>
                <w:sz w:val="20"/>
                <w:szCs w:val="20"/>
              </w:rPr>
            </w:pPr>
            <w:r w:rsidRPr="00A54F23">
              <w:rPr>
                <w:rFonts w:eastAsia="Times New Roman" w:cstheme="minorHAnsi"/>
                <w:sz w:val="20"/>
                <w:szCs w:val="20"/>
              </w:rPr>
              <w:t>Consent in context</w:t>
            </w:r>
          </w:p>
          <w:p w14:paraId="74525B18" w14:textId="22F66F46" w:rsidR="00EE01E3" w:rsidRPr="00037762" w:rsidRDefault="00D37EF7" w:rsidP="00EE01E3">
            <w:pPr>
              <w:numPr>
                <w:ilvl w:val="0"/>
                <w:numId w:val="1"/>
              </w:numPr>
              <w:ind w:left="540"/>
              <w:textAlignment w:val="center"/>
              <w:rPr>
                <w:rFonts w:eastAsia="Times New Roman" w:cstheme="minorHAnsi"/>
                <w:sz w:val="20"/>
                <w:szCs w:val="20"/>
              </w:rPr>
            </w:pPr>
            <w:r w:rsidRPr="00A54F23">
              <w:rPr>
                <w:rFonts w:eastAsia="Times New Roman" w:cstheme="minorHAnsi"/>
                <w:sz w:val="20"/>
                <w:szCs w:val="20"/>
              </w:rPr>
              <w:t>Review PII every 5 years</w:t>
            </w:r>
          </w:p>
        </w:tc>
      </w:tr>
      <w:tr w:rsidR="00EE01E3" w:rsidRPr="00A54F23" w14:paraId="5914FCE0" w14:textId="77777777" w:rsidTr="00EA0887">
        <w:tc>
          <w:tcPr>
            <w:tcW w:w="2155" w:type="dxa"/>
          </w:tcPr>
          <w:p w14:paraId="7BC2439F" w14:textId="273E947B" w:rsidR="00D37EF7" w:rsidRDefault="00D37EF7" w:rsidP="00EE01E3">
            <w:pPr>
              <w:rPr>
                <w:rFonts w:ascii="Calibri" w:hAnsi="Calibri" w:cs="Calibri"/>
                <w:b/>
                <w:bCs/>
                <w:color w:val="ED3C96"/>
              </w:rPr>
            </w:pPr>
            <w:r>
              <w:rPr>
                <w:rFonts w:ascii="Calibri" w:hAnsi="Calibri" w:cs="Calibri"/>
                <w:b/>
                <w:bCs/>
                <w:color w:val="ED3C96"/>
              </w:rPr>
              <w:t xml:space="preserve"> </w:t>
            </w:r>
          </w:p>
          <w:p w14:paraId="3E2922A2" w14:textId="26D2F2D3" w:rsidR="00EE01E3" w:rsidRPr="00A54F23" w:rsidRDefault="00D37EF7" w:rsidP="00EE01E3">
            <w:pPr>
              <w:rPr>
                <w:rFonts w:cstheme="minorHAnsi"/>
              </w:rPr>
            </w:pPr>
            <w:r>
              <w:rPr>
                <w:rFonts w:ascii="Calibri" w:hAnsi="Calibri" w:cs="Calibri"/>
                <w:b/>
                <w:bCs/>
                <w:color w:val="ED3C96"/>
              </w:rPr>
              <w:t>DUE DILIGENCE FOR THIRD PARTY COLLABORATORS</w:t>
            </w:r>
          </w:p>
        </w:tc>
        <w:tc>
          <w:tcPr>
            <w:tcW w:w="4680" w:type="dxa"/>
          </w:tcPr>
          <w:p w14:paraId="1869789F" w14:textId="77777777" w:rsidR="00D37EF7" w:rsidRPr="00EA0887" w:rsidRDefault="00D37EF7" w:rsidP="00D37EF7">
            <w:pPr>
              <w:pStyle w:val="NormalWeb"/>
              <w:spacing w:before="280" w:beforeAutospacing="0" w:after="260" w:afterAutospacing="0"/>
              <w:rPr>
                <w:rFonts w:ascii="Calibri" w:hAnsi="Calibri" w:cs="Calibri"/>
                <w:color w:val="000000"/>
                <w:sz w:val="20"/>
                <w:szCs w:val="20"/>
              </w:rPr>
            </w:pPr>
            <w:r w:rsidRPr="00EA0887">
              <w:rPr>
                <w:rFonts w:ascii="Calibri" w:hAnsi="Calibri" w:cs="Calibri"/>
                <w:color w:val="000000"/>
                <w:sz w:val="20"/>
                <w:szCs w:val="20"/>
              </w:rPr>
              <w:t>Third party collaborators engaging in data use should act in compliance with relevant laws, including privacy laws as well as the highest standards of confidentiality and moral and ethical conduct. Furthermore, third party collaborators’ actions should adhere to the same principles as public agencies.</w:t>
            </w:r>
          </w:p>
          <w:p w14:paraId="21452250" w14:textId="77777777" w:rsidR="00D37EF7" w:rsidRPr="00EA0887" w:rsidRDefault="00D37EF7" w:rsidP="00D37EF7">
            <w:pPr>
              <w:pStyle w:val="NormalWeb"/>
              <w:spacing w:before="0" w:beforeAutospacing="0" w:after="280" w:afterAutospacing="0"/>
              <w:rPr>
                <w:rFonts w:ascii="Calibri" w:hAnsi="Calibri" w:cs="Calibri"/>
                <w:color w:val="000000"/>
                <w:sz w:val="20"/>
                <w:szCs w:val="20"/>
              </w:rPr>
            </w:pPr>
            <w:r w:rsidRPr="00EA0887">
              <w:rPr>
                <w:rFonts w:ascii="Calibri" w:hAnsi="Calibri" w:cs="Calibri"/>
                <w:color w:val="000000"/>
                <w:sz w:val="20"/>
                <w:szCs w:val="20"/>
              </w:rPr>
              <w:t xml:space="preserve">It is recommended that a process of due diligence </w:t>
            </w:r>
            <w:proofErr w:type="gramStart"/>
            <w:r w:rsidRPr="00EA0887">
              <w:rPr>
                <w:rFonts w:ascii="Calibri" w:hAnsi="Calibri" w:cs="Calibri"/>
                <w:color w:val="000000"/>
                <w:sz w:val="20"/>
                <w:szCs w:val="20"/>
              </w:rPr>
              <w:t>be  conducted</w:t>
            </w:r>
            <w:proofErr w:type="gramEnd"/>
            <w:r w:rsidRPr="00EA0887">
              <w:rPr>
                <w:rFonts w:ascii="Calibri" w:hAnsi="Calibri" w:cs="Calibri"/>
                <w:color w:val="000000"/>
                <w:sz w:val="20"/>
                <w:szCs w:val="20"/>
              </w:rPr>
              <w:t xml:space="preserve"> to evaluate the data practices of any potential third party collaborators.</w:t>
            </w:r>
          </w:p>
          <w:p w14:paraId="1482EACD" w14:textId="3EEF28DB" w:rsidR="00160993" w:rsidRPr="00EA0887" w:rsidRDefault="00D37EF7" w:rsidP="0061718C">
            <w:pPr>
              <w:pStyle w:val="NormalWeb"/>
              <w:spacing w:before="0" w:beforeAutospacing="0" w:after="220" w:afterAutospacing="0"/>
              <w:rPr>
                <w:rFonts w:asciiTheme="minorHAnsi" w:hAnsiTheme="minorHAnsi" w:cstheme="minorHAnsi"/>
                <w:color w:val="000000"/>
                <w:sz w:val="20"/>
                <w:szCs w:val="20"/>
              </w:rPr>
            </w:pPr>
            <w:r w:rsidRPr="00EA0887">
              <w:rPr>
                <w:rFonts w:ascii="Calibri" w:hAnsi="Calibri" w:cs="Calibri"/>
                <w:color w:val="000000"/>
                <w:sz w:val="20"/>
                <w:szCs w:val="20"/>
              </w:rPr>
              <w:t>Legally binding agreements outlining parameters for data access and handling (e.g. data security, data formats, data transmission, fusion, analysis, validation, storage, retention, re-use, licensing, etc.) should be established to ensure reliable and secure access to data provid</w:t>
            </w:r>
            <w:r w:rsidR="00B2085A" w:rsidRPr="00EA0887">
              <w:rPr>
                <w:rFonts w:ascii="Calibri" w:hAnsi="Calibri" w:cs="Calibri"/>
                <w:color w:val="000000"/>
                <w:sz w:val="20"/>
                <w:szCs w:val="20"/>
              </w:rPr>
              <w:t>ed by third party collaborators</w:t>
            </w:r>
            <w:r w:rsidR="00B2085A" w:rsidRPr="00EA0887" w:rsidDel="00D37EF7">
              <w:rPr>
                <w:rFonts w:cstheme="minorHAnsi"/>
                <w:color w:val="000000"/>
                <w:sz w:val="20"/>
                <w:szCs w:val="20"/>
              </w:rPr>
              <w:t xml:space="preserve"> </w:t>
            </w:r>
          </w:p>
        </w:tc>
        <w:tc>
          <w:tcPr>
            <w:tcW w:w="3651" w:type="dxa"/>
          </w:tcPr>
          <w:p w14:paraId="7D76669A" w14:textId="6C57CB63" w:rsidR="00EE01E3" w:rsidRPr="00EA0887" w:rsidRDefault="00EE01E3" w:rsidP="00EE01E3">
            <w:pPr>
              <w:numPr>
                <w:ilvl w:val="0"/>
                <w:numId w:val="2"/>
              </w:numPr>
              <w:textAlignment w:val="center"/>
              <w:rPr>
                <w:rFonts w:eastAsia="Times New Roman" w:cstheme="minorHAnsi"/>
                <w:sz w:val="20"/>
                <w:szCs w:val="20"/>
              </w:rPr>
            </w:pPr>
            <w:r w:rsidRPr="00037762">
              <w:rPr>
                <w:rFonts w:eastAsia="Times New Roman" w:cstheme="minorHAnsi"/>
                <w:sz w:val="20"/>
                <w:szCs w:val="20"/>
              </w:rPr>
              <w:t>State agencies shall notify the Chief Privacy Officer of the sale of any personally identifiable information or lists of individuals to third parties, except where such information has already been made available to the public.  (</w:t>
            </w:r>
            <w:r w:rsidRPr="00037762">
              <w:rPr>
                <w:rFonts w:eastAsia="Times New Roman" w:cstheme="minorHAnsi"/>
                <w:i/>
                <w:iCs/>
                <w:sz w:val="20"/>
                <w:szCs w:val="20"/>
              </w:rPr>
              <w:t xml:space="preserve">Executive Order </w:t>
            </w:r>
            <w:hyperlink r:id="rId19" w:history="1">
              <w:r w:rsidRPr="00A54F23">
                <w:rPr>
                  <w:rFonts w:eastAsia="Times New Roman" w:cstheme="minorHAnsi"/>
                  <w:i/>
                  <w:iCs/>
                  <w:color w:val="0000FF"/>
                  <w:sz w:val="20"/>
                  <w:szCs w:val="20"/>
                  <w:u w:val="single"/>
                </w:rPr>
                <w:t>16-01</w:t>
              </w:r>
            </w:hyperlink>
            <w:r w:rsidRPr="00037762">
              <w:rPr>
                <w:rFonts w:eastAsia="Times New Roman" w:cstheme="minorHAnsi"/>
                <w:i/>
                <w:iCs/>
                <w:sz w:val="20"/>
                <w:szCs w:val="20"/>
              </w:rPr>
              <w:t>)</w:t>
            </w:r>
          </w:p>
          <w:p w14:paraId="7F2291DE" w14:textId="2A003E5B" w:rsidR="00160993" w:rsidRPr="00037762" w:rsidRDefault="00160993" w:rsidP="00EE01E3">
            <w:pPr>
              <w:numPr>
                <w:ilvl w:val="0"/>
                <w:numId w:val="2"/>
              </w:numPr>
              <w:textAlignment w:val="center"/>
              <w:rPr>
                <w:rFonts w:eastAsia="Times New Roman" w:cstheme="minorHAnsi"/>
                <w:sz w:val="20"/>
                <w:szCs w:val="20"/>
              </w:rPr>
            </w:pPr>
            <w:r w:rsidRPr="00A54F23">
              <w:rPr>
                <w:rFonts w:cstheme="minorHAnsi"/>
                <w:color w:val="000000"/>
                <w:sz w:val="20"/>
                <w:szCs w:val="20"/>
              </w:rPr>
              <w:t xml:space="preserve">Legally binding agreements outlining parameters for data access and handling (e.g. data security, data formats, data transmission, fusion, analysis, validation, storage, retention, re-use, licensing, </w:t>
            </w:r>
            <w:r>
              <w:rPr>
                <w:rFonts w:cstheme="minorHAnsi"/>
                <w:color w:val="000000"/>
                <w:sz w:val="20"/>
                <w:szCs w:val="20"/>
              </w:rPr>
              <w:t xml:space="preserve">disposition, </w:t>
            </w:r>
            <w:r w:rsidRPr="00A54F23">
              <w:rPr>
                <w:rFonts w:cstheme="minorHAnsi"/>
                <w:color w:val="000000"/>
                <w:sz w:val="20"/>
                <w:szCs w:val="20"/>
              </w:rPr>
              <w:t>etc.) should be established to ensure reliable and secure access to data provided by third party collaborators.</w:t>
            </w:r>
          </w:p>
          <w:p w14:paraId="424B21A0" w14:textId="17AADD52" w:rsidR="00160993" w:rsidRPr="00A54F23" w:rsidRDefault="00160993" w:rsidP="00EE01E3">
            <w:pPr>
              <w:rPr>
                <w:rFonts w:cstheme="minorHAnsi"/>
                <w:sz w:val="20"/>
                <w:szCs w:val="20"/>
              </w:rPr>
            </w:pPr>
          </w:p>
        </w:tc>
        <w:tc>
          <w:tcPr>
            <w:tcW w:w="2464" w:type="dxa"/>
          </w:tcPr>
          <w:p w14:paraId="5755BE61" w14:textId="77777777" w:rsidR="00EE01E3" w:rsidRPr="002B4ED9" w:rsidRDefault="00EE01E3" w:rsidP="00EE01E3">
            <w:pPr>
              <w:numPr>
                <w:ilvl w:val="0"/>
                <w:numId w:val="3"/>
              </w:numPr>
              <w:ind w:left="540"/>
              <w:textAlignment w:val="center"/>
              <w:rPr>
                <w:rFonts w:eastAsia="Times New Roman" w:cstheme="minorHAnsi"/>
                <w:sz w:val="20"/>
                <w:szCs w:val="20"/>
              </w:rPr>
            </w:pPr>
            <w:r w:rsidRPr="002B4ED9">
              <w:rPr>
                <w:rFonts w:eastAsia="Times New Roman" w:cstheme="minorHAnsi"/>
                <w:sz w:val="20"/>
                <w:szCs w:val="20"/>
              </w:rPr>
              <w:t>Document all data flows with Data Sharing agreements (</w:t>
            </w:r>
            <w:hyperlink r:id="rId20" w:history="1">
              <w:r w:rsidRPr="00A54F23">
                <w:rPr>
                  <w:rFonts w:eastAsia="Times New Roman" w:cstheme="minorHAnsi"/>
                  <w:color w:val="0000FF"/>
                  <w:sz w:val="20"/>
                  <w:szCs w:val="20"/>
                  <w:u w:val="single"/>
                </w:rPr>
                <w:t>checklist</w:t>
              </w:r>
            </w:hyperlink>
            <w:r w:rsidRPr="002B4ED9">
              <w:rPr>
                <w:rFonts w:eastAsia="Times New Roman" w:cstheme="minorHAnsi"/>
                <w:sz w:val="20"/>
                <w:szCs w:val="20"/>
              </w:rPr>
              <w:t>)</w:t>
            </w:r>
          </w:p>
          <w:p w14:paraId="0F75857A" w14:textId="77777777" w:rsidR="00EE01E3" w:rsidRPr="002B4ED9" w:rsidRDefault="00EE01E3" w:rsidP="00EE01E3">
            <w:pPr>
              <w:numPr>
                <w:ilvl w:val="0"/>
                <w:numId w:val="3"/>
              </w:numPr>
              <w:ind w:left="540"/>
              <w:textAlignment w:val="center"/>
              <w:rPr>
                <w:rFonts w:eastAsia="Times New Roman" w:cstheme="minorHAnsi"/>
                <w:sz w:val="20"/>
                <w:szCs w:val="20"/>
              </w:rPr>
            </w:pPr>
            <w:r w:rsidRPr="002B4ED9">
              <w:rPr>
                <w:rFonts w:eastAsia="Times New Roman" w:cstheme="minorHAnsi"/>
                <w:sz w:val="20"/>
                <w:szCs w:val="20"/>
              </w:rPr>
              <w:t xml:space="preserve">Report Data Sharing Agreements in contract management system (e.g. </w:t>
            </w:r>
            <w:proofErr w:type="spellStart"/>
            <w:r w:rsidRPr="002B4ED9">
              <w:rPr>
                <w:rFonts w:eastAsia="Times New Roman" w:cstheme="minorHAnsi"/>
                <w:sz w:val="20"/>
                <w:szCs w:val="20"/>
              </w:rPr>
              <w:t>eCMS</w:t>
            </w:r>
            <w:proofErr w:type="spellEnd"/>
            <w:r w:rsidRPr="002B4ED9">
              <w:rPr>
                <w:rFonts w:eastAsia="Times New Roman" w:cstheme="minorHAnsi"/>
                <w:sz w:val="20"/>
                <w:szCs w:val="20"/>
              </w:rPr>
              <w:t>)</w:t>
            </w:r>
          </w:p>
          <w:p w14:paraId="2A8E64ED" w14:textId="77777777" w:rsidR="00EE01E3" w:rsidRPr="002B4ED9" w:rsidRDefault="00EE01E3" w:rsidP="00EE01E3">
            <w:pPr>
              <w:numPr>
                <w:ilvl w:val="0"/>
                <w:numId w:val="3"/>
              </w:numPr>
              <w:ind w:left="540"/>
              <w:textAlignment w:val="center"/>
              <w:rPr>
                <w:rFonts w:eastAsia="Times New Roman" w:cstheme="minorHAnsi"/>
                <w:sz w:val="20"/>
                <w:szCs w:val="20"/>
              </w:rPr>
            </w:pPr>
            <w:r w:rsidRPr="002B4ED9">
              <w:rPr>
                <w:rFonts w:eastAsia="Times New Roman" w:cstheme="minorHAnsi"/>
                <w:sz w:val="20"/>
                <w:szCs w:val="20"/>
              </w:rPr>
              <w:t xml:space="preserve">Audit data sharing agreement partners </w:t>
            </w:r>
          </w:p>
          <w:p w14:paraId="33C29624" w14:textId="77777777" w:rsidR="00EE01E3" w:rsidRPr="002B4ED9" w:rsidRDefault="00EE01E3" w:rsidP="00EE01E3">
            <w:pPr>
              <w:numPr>
                <w:ilvl w:val="0"/>
                <w:numId w:val="3"/>
              </w:numPr>
              <w:ind w:left="540"/>
              <w:textAlignment w:val="center"/>
              <w:rPr>
                <w:rFonts w:eastAsia="Times New Roman" w:cstheme="minorHAnsi"/>
                <w:sz w:val="20"/>
                <w:szCs w:val="20"/>
              </w:rPr>
            </w:pPr>
            <w:r w:rsidRPr="002B4ED9">
              <w:rPr>
                <w:rFonts w:eastAsia="Times New Roman" w:cstheme="minorHAnsi"/>
                <w:sz w:val="20"/>
                <w:szCs w:val="20"/>
              </w:rPr>
              <w:t>Include data protection certifications such as SOC and PCI in procurements)</w:t>
            </w:r>
          </w:p>
          <w:p w14:paraId="4B06A5D7" w14:textId="77777777" w:rsidR="00EE01E3" w:rsidRPr="00A54F23" w:rsidRDefault="00EE01E3" w:rsidP="00EE01E3">
            <w:pPr>
              <w:rPr>
                <w:rFonts w:cstheme="minorHAnsi"/>
                <w:sz w:val="20"/>
                <w:szCs w:val="20"/>
              </w:rPr>
            </w:pPr>
          </w:p>
        </w:tc>
      </w:tr>
      <w:tr w:rsidR="00EE01E3" w:rsidRPr="00A54F23" w14:paraId="4D7B18FF" w14:textId="77777777" w:rsidTr="00EA0887">
        <w:tc>
          <w:tcPr>
            <w:tcW w:w="2155" w:type="dxa"/>
          </w:tcPr>
          <w:p w14:paraId="7A84AFF9" w14:textId="77777777" w:rsidR="00B2085A" w:rsidRPr="00EA0887" w:rsidRDefault="00B2085A" w:rsidP="00EA0887">
            <w:pPr>
              <w:rPr>
                <w:b/>
                <w:color w:val="C00000"/>
              </w:rPr>
            </w:pPr>
          </w:p>
          <w:p w14:paraId="1535FA10" w14:textId="775B0967" w:rsidR="00EE01E3" w:rsidRPr="00EA0887" w:rsidRDefault="00EE01E3" w:rsidP="00EA0887">
            <w:pPr>
              <w:rPr>
                <w:b/>
                <w:color w:val="C00000"/>
              </w:rPr>
            </w:pPr>
            <w:r w:rsidRPr="00EA0887">
              <w:rPr>
                <w:b/>
                <w:color w:val="C00000"/>
              </w:rPr>
              <w:t>SENSITIVE DATA AND  SENSITIVE CONTEXTS</w:t>
            </w:r>
          </w:p>
        </w:tc>
        <w:tc>
          <w:tcPr>
            <w:tcW w:w="4680" w:type="dxa"/>
          </w:tcPr>
          <w:p w14:paraId="35B3A52E" w14:textId="77777777" w:rsidR="00EE01E3" w:rsidRPr="00EA0887" w:rsidRDefault="00EE01E3" w:rsidP="00EE01E3">
            <w:pPr>
              <w:pStyle w:val="NormalWeb"/>
              <w:spacing w:after="0"/>
              <w:rPr>
                <w:rFonts w:asciiTheme="minorHAnsi" w:hAnsiTheme="minorHAnsi" w:cstheme="minorHAnsi"/>
                <w:sz w:val="20"/>
                <w:szCs w:val="20"/>
              </w:rPr>
            </w:pPr>
            <w:r w:rsidRPr="00EA0887">
              <w:rPr>
                <w:rFonts w:asciiTheme="minorHAnsi" w:hAnsiTheme="minorHAnsi" w:cstheme="minorHAnsi"/>
                <w:sz w:val="20"/>
                <w:szCs w:val="20"/>
              </w:rPr>
              <w:t>Stricter standards of data protection should be employed while obtaining, accessing, collecting, analyzing or otherwise using data on vulnerable populations and persons at risk, children and young people, or any other sensitive data.</w:t>
            </w:r>
          </w:p>
          <w:p w14:paraId="3D06EF61" w14:textId="47D49CD1" w:rsidR="00EE01E3" w:rsidRPr="00EA0887" w:rsidRDefault="00EE01E3" w:rsidP="00EE01E3">
            <w:pPr>
              <w:pStyle w:val="NormalWeb"/>
              <w:spacing w:before="0" w:beforeAutospacing="0" w:after="0" w:afterAutospacing="0"/>
              <w:rPr>
                <w:rFonts w:asciiTheme="minorHAnsi" w:hAnsiTheme="minorHAnsi" w:cstheme="minorHAnsi"/>
                <w:sz w:val="20"/>
                <w:szCs w:val="20"/>
              </w:rPr>
            </w:pPr>
            <w:r w:rsidRPr="00EA0887">
              <w:rPr>
                <w:rFonts w:asciiTheme="minorHAnsi" w:hAnsiTheme="minorHAnsi" w:cstheme="minorHAnsi"/>
                <w:sz w:val="20"/>
                <w:szCs w:val="20"/>
              </w:rPr>
              <w:t>It is important to consider that context can turn non-sensitive data into sensitive data. The context in which the data is used (e.g. cultural, geographic, religious, the political circumstances, etc.) may influence the effect of the data analysis on an individual(s) or group(s) of individuals, even if the data is not explicitly personal or sensitive.</w:t>
            </w:r>
          </w:p>
        </w:tc>
        <w:tc>
          <w:tcPr>
            <w:tcW w:w="3651" w:type="dxa"/>
          </w:tcPr>
          <w:p w14:paraId="596E3641" w14:textId="3A683035" w:rsidR="00D37EF7" w:rsidRDefault="00EE01E3" w:rsidP="00EE01E3">
            <w:pPr>
              <w:numPr>
                <w:ilvl w:val="0"/>
                <w:numId w:val="4"/>
              </w:numPr>
              <w:ind w:left="540"/>
              <w:textAlignment w:val="center"/>
              <w:rPr>
                <w:rFonts w:eastAsia="Times New Roman" w:cstheme="minorHAnsi"/>
                <w:sz w:val="20"/>
                <w:szCs w:val="20"/>
              </w:rPr>
            </w:pPr>
            <w:r w:rsidRPr="002B4ED9">
              <w:rPr>
                <w:rFonts w:eastAsia="Times New Roman" w:cstheme="minorHAnsi"/>
                <w:sz w:val="20"/>
                <w:szCs w:val="20"/>
              </w:rPr>
              <w:t>Policies must ensure that information regarding a person’s immigration or citizenship status or place of birth shall not be collected,  except as required by federal or state law or state agency policy;  (</w:t>
            </w:r>
            <w:hyperlink r:id="rId21" w:history="1">
              <w:r w:rsidRPr="00A54F23">
                <w:rPr>
                  <w:rFonts w:eastAsia="Times New Roman" w:cstheme="minorHAnsi"/>
                  <w:i/>
                  <w:iCs/>
                  <w:color w:val="0000FF"/>
                  <w:sz w:val="20"/>
                  <w:szCs w:val="20"/>
                  <w:u w:val="single"/>
                </w:rPr>
                <w:t>Exec Order 17-01</w:t>
              </w:r>
            </w:hyperlink>
            <w:r w:rsidRPr="002B4ED9">
              <w:rPr>
                <w:rFonts w:eastAsia="Times New Roman" w:cstheme="minorHAnsi"/>
                <w:sz w:val="20"/>
                <w:szCs w:val="20"/>
              </w:rPr>
              <w:t>)</w:t>
            </w:r>
          </w:p>
          <w:p w14:paraId="5F6E255E" w14:textId="3228A7A9" w:rsidR="00EE01E3" w:rsidRPr="00EA0887" w:rsidRDefault="00FC3F00" w:rsidP="00EA0887">
            <w:pPr>
              <w:textAlignment w:val="center"/>
              <w:rPr>
                <w:rFonts w:ascii="Tahoma" w:hAnsi="Tahoma" w:cs="Tahoma"/>
                <w:sz w:val="20"/>
                <w:szCs w:val="20"/>
              </w:rPr>
            </w:pPr>
            <w:r w:rsidRPr="00005598">
              <w:rPr>
                <w:sz w:val="20"/>
                <w:szCs w:val="20"/>
              </w:rPr>
              <w:t>“</w:t>
            </w:r>
            <w:proofErr w:type="gramStart"/>
            <w:r w:rsidRPr="00005598">
              <w:rPr>
                <w:sz w:val="20"/>
                <w:szCs w:val="20"/>
              </w:rPr>
              <w:t>no</w:t>
            </w:r>
            <w:proofErr w:type="gramEnd"/>
            <w:r w:rsidRPr="00005598">
              <w:rPr>
                <w:sz w:val="20"/>
                <w:szCs w:val="20"/>
              </w:rPr>
              <w:t xml:space="preserve"> </w:t>
            </w:r>
            <w:r w:rsidRPr="00005598">
              <w:rPr>
                <w:sz w:val="20"/>
                <w:szCs w:val="20"/>
              </w:rPr>
              <w:t>state agency, including law enfo</w:t>
            </w:r>
            <w:r w:rsidRPr="00005598">
              <w:rPr>
                <w:sz w:val="20"/>
                <w:szCs w:val="20"/>
              </w:rPr>
              <w:t xml:space="preserve">rcement, may use agency funds, </w:t>
            </w:r>
            <w:r w:rsidRPr="00005598">
              <w:rPr>
                <w:sz w:val="20"/>
                <w:szCs w:val="20"/>
              </w:rPr>
              <w:t>facilities, property, equipment</w:t>
            </w:r>
            <w:r w:rsidRPr="00005598">
              <w:rPr>
                <w:sz w:val="20"/>
                <w:szCs w:val="20"/>
              </w:rPr>
              <w:t xml:space="preserve">, or personnel to </w:t>
            </w:r>
            <w:r>
              <w:rPr>
                <w:sz w:val="20"/>
                <w:szCs w:val="20"/>
              </w:rPr>
              <w:t xml:space="preserve">… </w:t>
            </w:r>
            <w:r w:rsidRPr="00005598">
              <w:rPr>
                <w:sz w:val="20"/>
                <w:szCs w:val="20"/>
              </w:rPr>
              <w:t xml:space="preserve">target Washington residents </w:t>
            </w:r>
            <w:r w:rsidRPr="00005598">
              <w:rPr>
                <w:sz w:val="20"/>
                <w:szCs w:val="20"/>
              </w:rPr>
              <w:t>solely on the basis of race, religio</w:t>
            </w:r>
            <w:r w:rsidRPr="00005598">
              <w:rPr>
                <w:sz w:val="20"/>
                <w:szCs w:val="20"/>
              </w:rPr>
              <w:t xml:space="preserve">n, immigration, or citizenship </w:t>
            </w:r>
            <w:r w:rsidRPr="00005598">
              <w:rPr>
                <w:sz w:val="20"/>
                <w:szCs w:val="20"/>
              </w:rPr>
              <w:t>status, or national or ethnic origin.</w:t>
            </w:r>
            <w:r>
              <w:rPr>
                <w:sz w:val="20"/>
                <w:szCs w:val="20"/>
              </w:rPr>
              <w:t>”</w:t>
            </w:r>
            <w:r>
              <w:rPr>
                <w:sz w:val="23"/>
                <w:szCs w:val="23"/>
              </w:rPr>
              <w:t xml:space="preserve"> </w:t>
            </w:r>
            <w:r>
              <w:rPr>
                <w:sz w:val="23"/>
                <w:szCs w:val="23"/>
              </w:rPr>
              <w:t>(</w:t>
            </w:r>
            <w:r>
              <w:rPr>
                <w:rFonts w:eastAsia="Times New Roman" w:cstheme="minorHAnsi"/>
                <w:sz w:val="20"/>
                <w:szCs w:val="20"/>
              </w:rPr>
              <w:t xml:space="preserve">Keep Washington Working Act, </w:t>
            </w:r>
            <w:hyperlink r:id="rId22" w:history="1">
              <w:r w:rsidRPr="00FC3F00">
                <w:rPr>
                  <w:rStyle w:val="Hyperlink"/>
                  <w:rFonts w:eastAsia="Times New Roman" w:cstheme="minorHAnsi"/>
                  <w:sz w:val="20"/>
                  <w:szCs w:val="20"/>
                </w:rPr>
                <w:t>SB 5497</w:t>
              </w:r>
            </w:hyperlink>
            <w:r>
              <w:rPr>
                <w:rFonts w:eastAsia="Times New Roman" w:cstheme="minorHAnsi"/>
                <w:sz w:val="20"/>
                <w:szCs w:val="20"/>
              </w:rPr>
              <w:t>)</w:t>
            </w:r>
          </w:p>
        </w:tc>
        <w:tc>
          <w:tcPr>
            <w:tcW w:w="2464" w:type="dxa"/>
          </w:tcPr>
          <w:p w14:paraId="1F9C627D" w14:textId="77777777" w:rsidR="00EE01E3" w:rsidRPr="00A54F23" w:rsidRDefault="00EE01E3" w:rsidP="00EE01E3">
            <w:pPr>
              <w:rPr>
                <w:rFonts w:cstheme="minorHAnsi"/>
                <w:sz w:val="20"/>
                <w:szCs w:val="20"/>
              </w:rPr>
            </w:pPr>
          </w:p>
        </w:tc>
      </w:tr>
      <w:tr w:rsidR="00EE01E3" w:rsidRPr="00A54F23" w14:paraId="01DAE1B9" w14:textId="77777777" w:rsidTr="00EA0887">
        <w:tc>
          <w:tcPr>
            <w:tcW w:w="2155" w:type="dxa"/>
          </w:tcPr>
          <w:p w14:paraId="06E2E0B0" w14:textId="77777777" w:rsidR="00B2085A" w:rsidRDefault="00B2085A" w:rsidP="00EA0887">
            <w:pPr>
              <w:rPr>
                <w:b/>
                <w:color w:val="993300"/>
              </w:rPr>
            </w:pPr>
          </w:p>
          <w:p w14:paraId="067AC256" w14:textId="5CB4D29D" w:rsidR="00EE01E3" w:rsidRPr="00EA0887" w:rsidRDefault="00EE01E3" w:rsidP="00157B19">
            <w:pPr>
              <w:rPr>
                <w:b/>
                <w:color w:val="993300"/>
              </w:rPr>
            </w:pPr>
            <w:r w:rsidRPr="00EA0887">
              <w:rPr>
                <w:b/>
                <w:color w:val="993300"/>
              </w:rPr>
              <w:t xml:space="preserve">DATA QUALITY </w:t>
            </w:r>
            <w:r w:rsidR="00157B19">
              <w:rPr>
                <w:b/>
                <w:color w:val="993300"/>
              </w:rPr>
              <w:t>AND</w:t>
            </w:r>
            <w:r w:rsidR="00157B19" w:rsidRPr="00EA0887">
              <w:rPr>
                <w:b/>
                <w:color w:val="993300"/>
              </w:rPr>
              <w:t xml:space="preserve"> </w:t>
            </w:r>
            <w:r w:rsidRPr="00EA0887">
              <w:rPr>
                <w:b/>
                <w:color w:val="993300"/>
              </w:rPr>
              <w:t>ACCURACY</w:t>
            </w:r>
          </w:p>
        </w:tc>
        <w:tc>
          <w:tcPr>
            <w:tcW w:w="4680" w:type="dxa"/>
          </w:tcPr>
          <w:p w14:paraId="71BE66AB" w14:textId="121EF117" w:rsidR="00EE01E3" w:rsidRPr="00EA0887" w:rsidRDefault="00EE01E3" w:rsidP="00EE01E3">
            <w:pPr>
              <w:pStyle w:val="NormalWeb"/>
              <w:spacing w:before="0" w:beforeAutospacing="0" w:after="240" w:afterAutospacing="0"/>
              <w:rPr>
                <w:rFonts w:asciiTheme="minorHAnsi" w:hAnsiTheme="minorHAnsi" w:cstheme="minorHAnsi"/>
                <w:color w:val="000000"/>
                <w:sz w:val="20"/>
                <w:szCs w:val="20"/>
              </w:rPr>
            </w:pPr>
            <w:r w:rsidRPr="00EA0887">
              <w:rPr>
                <w:rFonts w:asciiTheme="minorHAnsi" w:hAnsiTheme="minorHAnsi" w:cstheme="minorHAnsi"/>
                <w:color w:val="000000"/>
                <w:sz w:val="20"/>
                <w:szCs w:val="20"/>
              </w:rPr>
              <w:t xml:space="preserve">All data-related activities should be designed, carried out, reported and documented accurately. </w:t>
            </w:r>
          </w:p>
          <w:p w14:paraId="2E7E0C99" w14:textId="4813BF7E" w:rsidR="00EE01E3" w:rsidRPr="00EA0887" w:rsidRDefault="00EE01E3" w:rsidP="00EE01E3">
            <w:pPr>
              <w:pStyle w:val="NormalWeb"/>
              <w:spacing w:before="0" w:beforeAutospacing="0" w:after="240" w:afterAutospacing="0"/>
              <w:rPr>
                <w:rFonts w:asciiTheme="minorHAnsi" w:hAnsiTheme="minorHAnsi" w:cstheme="minorHAnsi"/>
                <w:color w:val="000000"/>
                <w:sz w:val="20"/>
                <w:szCs w:val="20"/>
              </w:rPr>
            </w:pPr>
            <w:r w:rsidRPr="00EA0887">
              <w:rPr>
                <w:rFonts w:asciiTheme="minorHAnsi" w:hAnsiTheme="minorHAnsi" w:cstheme="minorHAnsi"/>
                <w:color w:val="000000"/>
                <w:sz w:val="20"/>
                <w:szCs w:val="20"/>
              </w:rPr>
              <w:t>More specifically, data should be validated for accuracy, relevancy, sufficiency, integrity, completeness, usability, validity and coherence, and be kept up to date.</w:t>
            </w:r>
          </w:p>
          <w:p w14:paraId="6DF6140A" w14:textId="22AFFFB4" w:rsidR="00EE01E3" w:rsidRPr="00EA0887" w:rsidRDefault="00EE01E3" w:rsidP="00EE01E3">
            <w:pPr>
              <w:pStyle w:val="NormalWeb"/>
              <w:spacing w:before="0" w:beforeAutospacing="0" w:after="240" w:afterAutospacing="0"/>
              <w:rPr>
                <w:rFonts w:asciiTheme="minorHAnsi" w:hAnsiTheme="minorHAnsi" w:cstheme="minorHAnsi"/>
                <w:color w:val="000000"/>
                <w:sz w:val="20"/>
                <w:szCs w:val="20"/>
              </w:rPr>
            </w:pPr>
            <w:r w:rsidRPr="00EA0887">
              <w:rPr>
                <w:rFonts w:asciiTheme="minorHAnsi" w:hAnsiTheme="minorHAnsi" w:cstheme="minorHAnsi"/>
                <w:color w:val="000000"/>
                <w:sz w:val="20"/>
                <w:szCs w:val="20"/>
              </w:rPr>
              <w:t>Data quality should be carefully considered in light of the risks that the use of low quality data for decision-making can create for an individual(s) and group(s) of individuals.</w:t>
            </w:r>
          </w:p>
        </w:tc>
        <w:tc>
          <w:tcPr>
            <w:tcW w:w="3651" w:type="dxa"/>
          </w:tcPr>
          <w:p w14:paraId="146BB7A0" w14:textId="77777777" w:rsidR="00EE01E3" w:rsidRPr="00A54F23" w:rsidRDefault="00EE01E3" w:rsidP="00EE01E3">
            <w:pPr>
              <w:rPr>
                <w:rFonts w:cstheme="minorHAnsi"/>
                <w:sz w:val="20"/>
                <w:szCs w:val="20"/>
              </w:rPr>
            </w:pPr>
          </w:p>
        </w:tc>
        <w:tc>
          <w:tcPr>
            <w:tcW w:w="2464" w:type="dxa"/>
          </w:tcPr>
          <w:p w14:paraId="03702F80" w14:textId="77777777" w:rsidR="00EE01E3" w:rsidRPr="00A54F23" w:rsidRDefault="00EE01E3" w:rsidP="00EE01E3">
            <w:pPr>
              <w:rPr>
                <w:rFonts w:cstheme="minorHAnsi"/>
                <w:sz w:val="20"/>
                <w:szCs w:val="20"/>
              </w:rPr>
            </w:pPr>
          </w:p>
        </w:tc>
      </w:tr>
    </w:tbl>
    <w:p w14:paraId="640FDC54" w14:textId="77777777" w:rsidR="00B2085A" w:rsidRDefault="00B2085A">
      <w:r>
        <w:br w:type="page"/>
      </w:r>
    </w:p>
    <w:tbl>
      <w:tblPr>
        <w:tblStyle w:val="TableGrid"/>
        <w:tblW w:w="0" w:type="auto"/>
        <w:tblLayout w:type="fixed"/>
        <w:tblLook w:val="04A0" w:firstRow="1" w:lastRow="0" w:firstColumn="1" w:lastColumn="0" w:noHBand="0" w:noVBand="1"/>
      </w:tblPr>
      <w:tblGrid>
        <w:gridCol w:w="2155"/>
        <w:gridCol w:w="4680"/>
        <w:gridCol w:w="3651"/>
        <w:gridCol w:w="2464"/>
      </w:tblGrid>
      <w:tr w:rsidR="00EE01E3" w:rsidRPr="00A54F23" w14:paraId="46FF06A2" w14:textId="77777777" w:rsidTr="00EA0887">
        <w:tc>
          <w:tcPr>
            <w:tcW w:w="2155" w:type="dxa"/>
          </w:tcPr>
          <w:p w14:paraId="0ECCD99D" w14:textId="0299DF15" w:rsidR="00B2085A" w:rsidRDefault="00B2085A" w:rsidP="00EE01E3">
            <w:pPr>
              <w:pStyle w:val="NormalWeb"/>
              <w:spacing w:before="0" w:beforeAutospacing="0" w:afterAutospacing="0"/>
              <w:rPr>
                <w:rFonts w:asciiTheme="minorHAnsi" w:hAnsiTheme="minorHAnsi" w:cstheme="minorHAnsi"/>
                <w:b/>
                <w:bCs/>
                <w:color w:val="F5821F"/>
              </w:rPr>
            </w:pPr>
          </w:p>
          <w:p w14:paraId="45122DBB" w14:textId="12818B62" w:rsidR="00EE01E3" w:rsidRPr="00A54F23" w:rsidRDefault="00EE01E3" w:rsidP="00EE01E3">
            <w:pPr>
              <w:pStyle w:val="NormalWeb"/>
              <w:spacing w:before="0" w:beforeAutospacing="0" w:afterAutospacing="0"/>
              <w:rPr>
                <w:rFonts w:asciiTheme="minorHAnsi" w:hAnsiTheme="minorHAnsi" w:cstheme="minorHAnsi"/>
                <w:color w:val="F5821F"/>
              </w:rPr>
            </w:pPr>
            <w:r w:rsidRPr="00A54F23">
              <w:rPr>
                <w:rFonts w:asciiTheme="minorHAnsi" w:hAnsiTheme="minorHAnsi" w:cstheme="minorHAnsi"/>
                <w:b/>
                <w:bCs/>
                <w:color w:val="F5821F"/>
              </w:rPr>
              <w:t>OPEN DATA, TRANSPARENCY AND ACCOUNTABILITY</w:t>
            </w:r>
          </w:p>
        </w:tc>
        <w:tc>
          <w:tcPr>
            <w:tcW w:w="4680" w:type="dxa"/>
          </w:tcPr>
          <w:p w14:paraId="65712943" w14:textId="19B9D5B4" w:rsidR="00EE01E3" w:rsidRPr="00A54F23" w:rsidRDefault="00EE01E3" w:rsidP="00EE01E3">
            <w:pPr>
              <w:pStyle w:val="NormalWeb"/>
              <w:spacing w:before="0" w:beforeAutospacing="0" w:after="240" w:afterAutospacing="0"/>
              <w:rPr>
                <w:rFonts w:asciiTheme="minorHAnsi" w:hAnsiTheme="minorHAnsi" w:cstheme="minorHAnsi"/>
                <w:color w:val="000000"/>
                <w:sz w:val="20"/>
                <w:szCs w:val="20"/>
              </w:rPr>
            </w:pPr>
            <w:r w:rsidRPr="00A54F23">
              <w:rPr>
                <w:rFonts w:asciiTheme="minorHAnsi" w:hAnsiTheme="minorHAnsi" w:cstheme="minorHAnsi"/>
                <w:color w:val="000000"/>
                <w:sz w:val="20"/>
                <w:szCs w:val="20"/>
              </w:rPr>
              <w:t>Transparency is a critical element of accountability. Being transparent about data use (e.g. publishing data sets or publishing an organization’s data use practices) is generally encouraged, but must be balanced against privacy, justice, and environmental stewardship.</w:t>
            </w:r>
          </w:p>
          <w:p w14:paraId="4148E760" w14:textId="40BD8140" w:rsidR="00EE01E3" w:rsidRPr="00A54F23" w:rsidRDefault="00EE01E3" w:rsidP="00EE01E3">
            <w:pPr>
              <w:pStyle w:val="NormalWeb"/>
              <w:spacing w:before="0" w:beforeAutospacing="0" w:after="240" w:afterAutospacing="0"/>
              <w:rPr>
                <w:rFonts w:asciiTheme="minorHAnsi" w:hAnsiTheme="minorHAnsi" w:cstheme="minorHAnsi"/>
                <w:color w:val="000000"/>
                <w:sz w:val="20"/>
                <w:szCs w:val="20"/>
              </w:rPr>
            </w:pPr>
            <w:r w:rsidRPr="00A54F23">
              <w:rPr>
                <w:rFonts w:asciiTheme="minorHAnsi" w:hAnsiTheme="minorHAnsi" w:cstheme="minorHAnsi"/>
                <w:color w:val="000000"/>
                <w:sz w:val="20"/>
                <w:szCs w:val="20"/>
              </w:rPr>
              <w:t xml:space="preserve">Except in cases where there is a legitimate reason not </w:t>
            </w:r>
            <w:proofErr w:type="gramStart"/>
            <w:r w:rsidRPr="00A54F23">
              <w:rPr>
                <w:rFonts w:asciiTheme="minorHAnsi" w:hAnsiTheme="minorHAnsi" w:cstheme="minorHAnsi"/>
                <w:color w:val="000000"/>
                <w:sz w:val="20"/>
                <w:szCs w:val="20"/>
              </w:rPr>
              <w:t>to  do</w:t>
            </w:r>
            <w:proofErr w:type="gramEnd"/>
            <w:r w:rsidRPr="00A54F23">
              <w:rPr>
                <w:rFonts w:asciiTheme="minorHAnsi" w:hAnsiTheme="minorHAnsi" w:cstheme="minorHAnsi"/>
                <w:color w:val="000000"/>
                <w:sz w:val="20"/>
                <w:szCs w:val="20"/>
              </w:rPr>
              <w:t xml:space="preserve"> so, the existence, description, meaning, authorship, location, age and purpose of data use should be publicly disclosed and described in a clear and non-technical language suitable for a general audience.</w:t>
            </w:r>
          </w:p>
          <w:p w14:paraId="6A9F70EC" w14:textId="77777777" w:rsidR="00EE01E3" w:rsidRPr="00A54F23" w:rsidRDefault="00EE01E3" w:rsidP="00EE01E3">
            <w:pPr>
              <w:pStyle w:val="NormalWeb"/>
              <w:spacing w:before="0" w:beforeAutospacing="0" w:after="0" w:afterAutospacing="0"/>
              <w:rPr>
                <w:rFonts w:asciiTheme="minorHAnsi" w:hAnsiTheme="minorHAnsi" w:cstheme="minorHAnsi"/>
                <w:color w:val="000000"/>
                <w:sz w:val="20"/>
                <w:szCs w:val="20"/>
              </w:rPr>
            </w:pPr>
            <w:r w:rsidRPr="00A54F23">
              <w:rPr>
                <w:rFonts w:asciiTheme="minorHAnsi" w:hAnsiTheme="minorHAnsi" w:cstheme="minorHAnsi"/>
                <w:color w:val="000000"/>
                <w:sz w:val="20"/>
                <w:szCs w:val="20"/>
              </w:rPr>
              <w:t xml:space="preserve">Open data is an important driver of innovation, transparency and accountability. Therefore, whenever possible, the data should be made open, unless there are legitimate reasons not to do so. </w:t>
            </w:r>
          </w:p>
          <w:p w14:paraId="25C8C95D" w14:textId="77777777" w:rsidR="00EE01E3" w:rsidRPr="00A54F23" w:rsidRDefault="00EE01E3" w:rsidP="00EE01E3">
            <w:pPr>
              <w:pStyle w:val="NormalWeb"/>
              <w:spacing w:before="0" w:beforeAutospacing="0" w:after="0" w:afterAutospacing="0"/>
              <w:rPr>
                <w:rFonts w:asciiTheme="minorHAnsi" w:hAnsiTheme="minorHAnsi" w:cstheme="minorHAnsi"/>
                <w:color w:val="000000"/>
                <w:sz w:val="20"/>
                <w:szCs w:val="20"/>
              </w:rPr>
            </w:pPr>
          </w:p>
          <w:p w14:paraId="24E12744" w14:textId="74B1996B" w:rsidR="00EE01E3" w:rsidRPr="00A54F23" w:rsidRDefault="00EE01E3" w:rsidP="00EE01E3">
            <w:pPr>
              <w:pStyle w:val="NormalWeb"/>
              <w:spacing w:before="0" w:beforeAutospacing="0" w:after="0" w:afterAutospacing="0"/>
              <w:rPr>
                <w:rFonts w:asciiTheme="minorHAnsi" w:hAnsiTheme="minorHAnsi" w:cstheme="minorHAnsi"/>
                <w:color w:val="000000"/>
                <w:sz w:val="20"/>
                <w:szCs w:val="20"/>
              </w:rPr>
            </w:pPr>
            <w:r w:rsidRPr="00A54F23">
              <w:rPr>
                <w:rFonts w:asciiTheme="minorHAnsi" w:hAnsiTheme="minorHAnsi" w:cstheme="minorHAnsi"/>
                <w:color w:val="000000"/>
                <w:sz w:val="20"/>
                <w:szCs w:val="20"/>
              </w:rPr>
              <w:t>Disclosure of personal information through public data should be avoided or carefully assessed for potential risks and harms.</w:t>
            </w:r>
          </w:p>
        </w:tc>
        <w:tc>
          <w:tcPr>
            <w:tcW w:w="3651" w:type="dxa"/>
          </w:tcPr>
          <w:p w14:paraId="6CAC29ED" w14:textId="77777777" w:rsidR="00EE01E3" w:rsidRPr="002B4ED9" w:rsidRDefault="00EE01E3" w:rsidP="00EE01E3">
            <w:pPr>
              <w:numPr>
                <w:ilvl w:val="0"/>
                <w:numId w:val="5"/>
              </w:numPr>
              <w:ind w:left="540"/>
              <w:textAlignment w:val="center"/>
              <w:rPr>
                <w:rFonts w:eastAsia="Times New Roman" w:cstheme="minorHAnsi"/>
                <w:sz w:val="20"/>
                <w:szCs w:val="20"/>
              </w:rPr>
            </w:pPr>
            <w:r w:rsidRPr="002B4ED9">
              <w:rPr>
                <w:rFonts w:eastAsia="Times New Roman" w:cstheme="minorHAnsi"/>
                <w:sz w:val="20"/>
                <w:szCs w:val="20"/>
              </w:rPr>
              <w:t>It is the intent of the legislature to encourage state and local governments to develop, store, and manage their public records and information in electronic formats to meet their missions and objectives. (</w:t>
            </w:r>
            <w:r w:rsidRPr="002B4ED9">
              <w:rPr>
                <w:rFonts w:eastAsia="Times New Roman" w:cstheme="minorHAnsi"/>
                <w:i/>
                <w:iCs/>
                <w:sz w:val="20"/>
                <w:szCs w:val="20"/>
              </w:rPr>
              <w:t xml:space="preserve">RCW </w:t>
            </w:r>
            <w:hyperlink r:id="rId23" w:history="1">
              <w:r w:rsidRPr="00A54F23">
                <w:rPr>
                  <w:rFonts w:eastAsia="Times New Roman" w:cstheme="minorHAnsi"/>
                  <w:i/>
                  <w:iCs/>
                  <w:color w:val="0000FF"/>
                  <w:sz w:val="20"/>
                  <w:szCs w:val="20"/>
                  <w:u w:val="single"/>
                </w:rPr>
                <w:t>43.105.351</w:t>
              </w:r>
            </w:hyperlink>
            <w:r w:rsidRPr="002B4ED9">
              <w:rPr>
                <w:rFonts w:eastAsia="Times New Roman" w:cstheme="minorHAnsi"/>
                <w:sz w:val="20"/>
                <w:szCs w:val="20"/>
              </w:rPr>
              <w:t>)</w:t>
            </w:r>
          </w:p>
          <w:p w14:paraId="23D15B37" w14:textId="77777777" w:rsidR="00EE01E3" w:rsidRPr="002B4ED9" w:rsidRDefault="00EE01E3" w:rsidP="00EE01E3">
            <w:pPr>
              <w:numPr>
                <w:ilvl w:val="0"/>
                <w:numId w:val="5"/>
              </w:numPr>
              <w:ind w:left="540"/>
              <w:textAlignment w:val="center"/>
              <w:rPr>
                <w:rFonts w:eastAsia="Times New Roman" w:cstheme="minorHAnsi"/>
                <w:sz w:val="20"/>
                <w:szCs w:val="20"/>
              </w:rPr>
            </w:pPr>
            <w:r w:rsidRPr="002B4ED9">
              <w:rPr>
                <w:rFonts w:eastAsia="Times New Roman" w:cstheme="minorHAnsi"/>
                <w:sz w:val="20"/>
                <w:szCs w:val="20"/>
              </w:rPr>
              <w:t>Agencies must develop, implement and maintain an Open Data Plan that outlines how the agency will routinely work to make open data publicly available.  (</w:t>
            </w:r>
            <w:r w:rsidRPr="002B4ED9">
              <w:rPr>
                <w:rFonts w:eastAsia="Times New Roman" w:cstheme="minorHAnsi"/>
                <w:i/>
                <w:iCs/>
                <w:sz w:val="20"/>
                <w:szCs w:val="20"/>
              </w:rPr>
              <w:t xml:space="preserve">OCIO </w:t>
            </w:r>
            <w:hyperlink r:id="rId24" w:history="1">
              <w:r w:rsidRPr="00A54F23">
                <w:rPr>
                  <w:rFonts w:eastAsia="Times New Roman" w:cstheme="minorHAnsi"/>
                  <w:i/>
                  <w:iCs/>
                  <w:color w:val="0000FF"/>
                  <w:sz w:val="20"/>
                  <w:szCs w:val="20"/>
                  <w:u w:val="single"/>
                </w:rPr>
                <w:t>policy 187</w:t>
              </w:r>
            </w:hyperlink>
            <w:r w:rsidRPr="002B4ED9">
              <w:rPr>
                <w:rFonts w:eastAsia="Times New Roman" w:cstheme="minorHAnsi"/>
                <w:i/>
                <w:iCs/>
                <w:sz w:val="20"/>
                <w:szCs w:val="20"/>
              </w:rPr>
              <w:t>)</w:t>
            </w:r>
          </w:p>
          <w:p w14:paraId="31A51909" w14:textId="77777777" w:rsidR="00EE01E3" w:rsidRPr="002B4ED9" w:rsidRDefault="00EE01E3" w:rsidP="00EE01E3">
            <w:pPr>
              <w:numPr>
                <w:ilvl w:val="0"/>
                <w:numId w:val="5"/>
              </w:numPr>
              <w:ind w:left="540"/>
              <w:textAlignment w:val="center"/>
              <w:rPr>
                <w:rFonts w:eastAsia="Times New Roman" w:cstheme="minorHAnsi"/>
                <w:sz w:val="20"/>
                <w:szCs w:val="20"/>
              </w:rPr>
            </w:pPr>
            <w:r w:rsidRPr="002B4ED9">
              <w:rPr>
                <w:rFonts w:eastAsia="Times New Roman" w:cstheme="minorHAnsi"/>
                <w:sz w:val="20"/>
                <w:szCs w:val="20"/>
              </w:rPr>
              <w:t>To the extent possible, information must be collected directly from, and with the consent of, the individual who is the subject of the data. (</w:t>
            </w:r>
            <w:r w:rsidRPr="002B4ED9">
              <w:rPr>
                <w:rFonts w:eastAsia="Times New Roman" w:cstheme="minorHAnsi"/>
                <w:i/>
                <w:iCs/>
                <w:sz w:val="20"/>
                <w:szCs w:val="20"/>
              </w:rPr>
              <w:t xml:space="preserve">RCW </w:t>
            </w:r>
            <w:hyperlink r:id="rId25" w:history="1">
              <w:r w:rsidRPr="00A54F23">
                <w:rPr>
                  <w:rFonts w:eastAsia="Times New Roman" w:cstheme="minorHAnsi"/>
                  <w:i/>
                  <w:iCs/>
                  <w:color w:val="0000FF"/>
                  <w:sz w:val="20"/>
                  <w:szCs w:val="20"/>
                  <w:u w:val="single"/>
                </w:rPr>
                <w:t>43.105.365</w:t>
              </w:r>
            </w:hyperlink>
            <w:r w:rsidRPr="002B4ED9">
              <w:rPr>
                <w:rFonts w:eastAsia="Times New Roman" w:cstheme="minorHAnsi"/>
                <w:i/>
                <w:iCs/>
                <w:sz w:val="20"/>
                <w:szCs w:val="20"/>
              </w:rPr>
              <w:t>)</w:t>
            </w:r>
          </w:p>
          <w:p w14:paraId="25BE2FC2" w14:textId="77777777" w:rsidR="00EE01E3" w:rsidRPr="00A54F23" w:rsidRDefault="00EE01E3" w:rsidP="00EE01E3">
            <w:pPr>
              <w:rPr>
                <w:rFonts w:cstheme="minorHAnsi"/>
                <w:sz w:val="20"/>
                <w:szCs w:val="20"/>
              </w:rPr>
            </w:pPr>
          </w:p>
        </w:tc>
        <w:tc>
          <w:tcPr>
            <w:tcW w:w="2464" w:type="dxa"/>
          </w:tcPr>
          <w:p w14:paraId="0C3AF5E1" w14:textId="77777777" w:rsidR="00EE01E3" w:rsidRPr="002B4ED9" w:rsidRDefault="00EE01E3" w:rsidP="00EE01E3">
            <w:pPr>
              <w:numPr>
                <w:ilvl w:val="0"/>
                <w:numId w:val="6"/>
              </w:numPr>
              <w:ind w:left="540"/>
              <w:textAlignment w:val="center"/>
              <w:rPr>
                <w:rFonts w:eastAsia="Times New Roman" w:cstheme="minorHAnsi"/>
                <w:sz w:val="20"/>
                <w:szCs w:val="20"/>
              </w:rPr>
            </w:pPr>
            <w:r w:rsidRPr="002B4ED9">
              <w:rPr>
                <w:rFonts w:eastAsia="Times New Roman" w:cstheme="minorHAnsi"/>
                <w:sz w:val="20"/>
                <w:szCs w:val="20"/>
              </w:rPr>
              <w:t>Review data for possible publication (</w:t>
            </w:r>
            <w:hyperlink r:id="rId26" w:history="1">
              <w:r w:rsidRPr="00A54F23">
                <w:rPr>
                  <w:rFonts w:eastAsia="Times New Roman" w:cstheme="minorHAnsi"/>
                  <w:color w:val="0000FF"/>
                  <w:sz w:val="20"/>
                  <w:szCs w:val="20"/>
                  <w:u w:val="single"/>
                </w:rPr>
                <w:t>checklist</w:t>
              </w:r>
            </w:hyperlink>
            <w:r w:rsidRPr="002B4ED9">
              <w:rPr>
                <w:rFonts w:eastAsia="Times New Roman" w:cstheme="minorHAnsi"/>
                <w:sz w:val="20"/>
                <w:szCs w:val="20"/>
              </w:rPr>
              <w:t>)</w:t>
            </w:r>
          </w:p>
          <w:p w14:paraId="4CF76864" w14:textId="2FA56719" w:rsidR="00EE01E3" w:rsidRPr="00A54F23" w:rsidRDefault="00EE01E3" w:rsidP="00EE01E3">
            <w:pPr>
              <w:numPr>
                <w:ilvl w:val="0"/>
                <w:numId w:val="6"/>
              </w:numPr>
              <w:ind w:left="540"/>
              <w:textAlignment w:val="center"/>
              <w:rPr>
                <w:rFonts w:eastAsia="Times New Roman" w:cstheme="minorHAnsi"/>
                <w:sz w:val="20"/>
                <w:szCs w:val="20"/>
              </w:rPr>
            </w:pPr>
            <w:r w:rsidRPr="002B4ED9">
              <w:rPr>
                <w:rFonts w:eastAsia="Times New Roman" w:cstheme="minorHAnsi"/>
                <w:sz w:val="20"/>
                <w:szCs w:val="20"/>
              </w:rPr>
              <w:t>Adopt and publish an open data plan (</w:t>
            </w:r>
            <w:hyperlink r:id="rId27" w:history="1">
              <w:r w:rsidRPr="00A54F23">
                <w:rPr>
                  <w:rFonts w:eastAsia="Times New Roman" w:cstheme="minorHAnsi"/>
                  <w:color w:val="0000FF"/>
                  <w:sz w:val="20"/>
                  <w:szCs w:val="20"/>
                  <w:u w:val="single"/>
                </w:rPr>
                <w:t>dashboard</w:t>
              </w:r>
            </w:hyperlink>
            <w:r w:rsidRPr="002B4ED9">
              <w:rPr>
                <w:rFonts w:eastAsia="Times New Roman" w:cstheme="minorHAnsi"/>
                <w:sz w:val="20"/>
                <w:szCs w:val="20"/>
              </w:rPr>
              <w:t>)</w:t>
            </w:r>
          </w:p>
          <w:p w14:paraId="7770F60E" w14:textId="4504BD51" w:rsidR="00EE01E3" w:rsidRPr="002B4ED9" w:rsidRDefault="00EE01E3" w:rsidP="00EE01E3">
            <w:pPr>
              <w:numPr>
                <w:ilvl w:val="0"/>
                <w:numId w:val="6"/>
              </w:numPr>
              <w:ind w:left="540"/>
              <w:textAlignment w:val="center"/>
              <w:rPr>
                <w:rFonts w:eastAsia="Times New Roman" w:cstheme="minorHAnsi"/>
                <w:sz w:val="20"/>
                <w:szCs w:val="20"/>
              </w:rPr>
            </w:pPr>
            <w:r w:rsidRPr="00A54F23">
              <w:rPr>
                <w:rFonts w:eastAsia="Times New Roman" w:cstheme="minorHAnsi"/>
                <w:sz w:val="20"/>
                <w:szCs w:val="20"/>
              </w:rPr>
              <w:t>Follow metadata standards</w:t>
            </w:r>
          </w:p>
          <w:p w14:paraId="4A6CB23F" w14:textId="77777777" w:rsidR="00EE01E3" w:rsidRPr="00A54F23" w:rsidRDefault="00EE01E3" w:rsidP="00EE01E3">
            <w:pPr>
              <w:rPr>
                <w:rFonts w:cstheme="minorHAnsi"/>
                <w:sz w:val="20"/>
                <w:szCs w:val="20"/>
              </w:rPr>
            </w:pPr>
          </w:p>
        </w:tc>
      </w:tr>
      <w:tr w:rsidR="00EE01E3" w:rsidRPr="00A54F23" w14:paraId="6CF0ED8F" w14:textId="77777777" w:rsidTr="00EA0887">
        <w:tc>
          <w:tcPr>
            <w:tcW w:w="2155" w:type="dxa"/>
          </w:tcPr>
          <w:p w14:paraId="40AE5655" w14:textId="77777777" w:rsidR="00EE01E3" w:rsidRPr="00A54F23" w:rsidRDefault="00EE01E3" w:rsidP="00EE01E3">
            <w:pPr>
              <w:rPr>
                <w:rFonts w:cstheme="minorHAnsi"/>
              </w:rPr>
            </w:pPr>
            <w:r w:rsidRPr="00A54F23">
              <w:rPr>
                <w:rFonts w:cstheme="minorHAnsi"/>
                <w:b/>
                <w:bCs/>
                <w:color w:val="EF4E37"/>
              </w:rPr>
              <w:t>DATA SECURITY</w:t>
            </w:r>
          </w:p>
        </w:tc>
        <w:tc>
          <w:tcPr>
            <w:tcW w:w="4680" w:type="dxa"/>
          </w:tcPr>
          <w:p w14:paraId="12DE1325" w14:textId="77777777" w:rsidR="00EE01E3" w:rsidRPr="00A54F23" w:rsidRDefault="00EE01E3" w:rsidP="00EE01E3">
            <w:pPr>
              <w:rPr>
                <w:rFonts w:eastAsia="Times New Roman" w:cstheme="minorHAnsi"/>
                <w:color w:val="000000"/>
                <w:sz w:val="20"/>
                <w:szCs w:val="20"/>
              </w:rPr>
            </w:pPr>
            <w:r w:rsidRPr="00A54F23">
              <w:rPr>
                <w:rFonts w:eastAsia="Times New Roman" w:cstheme="minorHAnsi"/>
                <w:color w:val="000000"/>
                <w:sz w:val="20"/>
                <w:szCs w:val="20"/>
              </w:rPr>
              <w:t>Data security is crucial in ensuring data privacy and data protection. Taking into account available technology and cost of implementation, robust technical and organizational safeguards and procedures (including efficient monitoring of data access and data breach notification procedures) should be implemented to ensure proper data management throughout the data lifecycle and prevent any unauthorized use, disclosure or breach of personal data.</w:t>
            </w:r>
          </w:p>
          <w:p w14:paraId="22712716" w14:textId="77777777" w:rsidR="00EE01E3" w:rsidRDefault="00EE01E3" w:rsidP="00EE01E3">
            <w:pPr>
              <w:rPr>
                <w:rFonts w:eastAsia="Times New Roman" w:cstheme="minorHAnsi"/>
                <w:color w:val="000000"/>
                <w:sz w:val="20"/>
                <w:szCs w:val="20"/>
              </w:rPr>
            </w:pPr>
          </w:p>
          <w:p w14:paraId="6C9124DE" w14:textId="7A0EBCE2" w:rsidR="00EE01E3" w:rsidRPr="00A54F23" w:rsidRDefault="00EE01E3" w:rsidP="00EE01E3">
            <w:pPr>
              <w:rPr>
                <w:rFonts w:eastAsia="Times New Roman" w:cstheme="minorHAnsi"/>
                <w:color w:val="000000"/>
                <w:sz w:val="20"/>
                <w:szCs w:val="20"/>
              </w:rPr>
            </w:pPr>
            <w:r w:rsidRPr="00A54F23">
              <w:rPr>
                <w:rFonts w:eastAsia="Times New Roman" w:cstheme="minorHAnsi"/>
                <w:color w:val="000000"/>
                <w:sz w:val="20"/>
                <w:szCs w:val="20"/>
              </w:rPr>
              <w:t xml:space="preserve">No de-identified data should knowingly and purposely be re-identified, unless there is a legitimate, lawful and fair basis. </w:t>
            </w:r>
          </w:p>
          <w:p w14:paraId="7D4890D0" w14:textId="77777777" w:rsidR="00EE01E3" w:rsidRDefault="00EE01E3" w:rsidP="00EE01E3">
            <w:pPr>
              <w:pStyle w:val="NormalWeb"/>
              <w:spacing w:before="0" w:beforeAutospacing="0" w:after="220" w:afterAutospacing="0"/>
              <w:rPr>
                <w:rFonts w:asciiTheme="minorHAnsi" w:hAnsiTheme="minorHAnsi" w:cstheme="minorHAnsi"/>
                <w:color w:val="000000"/>
                <w:sz w:val="20"/>
                <w:szCs w:val="20"/>
              </w:rPr>
            </w:pPr>
          </w:p>
          <w:p w14:paraId="69A613C3" w14:textId="69F52991" w:rsidR="00EE01E3" w:rsidRDefault="00EE01E3" w:rsidP="00EE01E3">
            <w:pPr>
              <w:pStyle w:val="NormalWeb"/>
              <w:spacing w:before="0" w:beforeAutospacing="0" w:after="220" w:afterAutospacing="0"/>
              <w:rPr>
                <w:rFonts w:asciiTheme="minorHAnsi" w:hAnsiTheme="minorHAnsi" w:cstheme="minorHAnsi"/>
                <w:color w:val="000000"/>
                <w:sz w:val="20"/>
                <w:szCs w:val="20"/>
              </w:rPr>
            </w:pPr>
            <w:r w:rsidRPr="00A54F23">
              <w:rPr>
                <w:rFonts w:asciiTheme="minorHAnsi" w:hAnsiTheme="minorHAnsi" w:cstheme="minorHAnsi"/>
                <w:color w:val="000000"/>
                <w:sz w:val="20"/>
                <w:szCs w:val="20"/>
              </w:rPr>
              <w:t xml:space="preserve">Data access should be limited to authorized personnel, based on the “need-to-know” principle. Personnel should undergo regular and systematic data privacy and data security trainings. </w:t>
            </w:r>
          </w:p>
          <w:p w14:paraId="3F5A01D1" w14:textId="63E88667" w:rsidR="00EE01E3" w:rsidRPr="00A54F23" w:rsidRDefault="00EE01E3" w:rsidP="00EE01E3">
            <w:pPr>
              <w:pStyle w:val="NormalWeb"/>
              <w:spacing w:before="0" w:beforeAutospacing="0" w:after="220" w:afterAutospacing="0"/>
              <w:rPr>
                <w:rFonts w:asciiTheme="minorHAnsi" w:hAnsiTheme="minorHAnsi" w:cstheme="minorHAnsi"/>
                <w:color w:val="000000"/>
                <w:sz w:val="20"/>
                <w:szCs w:val="20"/>
              </w:rPr>
            </w:pPr>
            <w:r w:rsidRPr="00A54F23">
              <w:rPr>
                <w:rFonts w:asciiTheme="minorHAnsi" w:hAnsiTheme="minorHAnsi" w:cstheme="minorHAnsi"/>
                <w:color w:val="000000"/>
                <w:sz w:val="20"/>
                <w:szCs w:val="20"/>
              </w:rPr>
              <w:t xml:space="preserve">Prior to data use, vulnerabilities of the security </w:t>
            </w:r>
            <w:proofErr w:type="gramStart"/>
            <w:r w:rsidRPr="00A54F23">
              <w:rPr>
                <w:rFonts w:asciiTheme="minorHAnsi" w:hAnsiTheme="minorHAnsi" w:cstheme="minorHAnsi"/>
                <w:color w:val="000000"/>
                <w:sz w:val="20"/>
                <w:szCs w:val="20"/>
              </w:rPr>
              <w:t>system  (</w:t>
            </w:r>
            <w:proofErr w:type="gramEnd"/>
            <w:r w:rsidRPr="00A54F23">
              <w:rPr>
                <w:rFonts w:asciiTheme="minorHAnsi" w:hAnsiTheme="minorHAnsi" w:cstheme="minorHAnsi"/>
                <w:color w:val="000000"/>
                <w:sz w:val="20"/>
                <w:szCs w:val="20"/>
              </w:rPr>
              <w:t>including data storage, way of transfer, etc.) should be assessed</w:t>
            </w:r>
            <w:r>
              <w:rPr>
                <w:rFonts w:asciiTheme="minorHAnsi" w:hAnsiTheme="minorHAnsi" w:cstheme="minorHAnsi"/>
                <w:color w:val="000000"/>
                <w:sz w:val="20"/>
                <w:szCs w:val="20"/>
              </w:rPr>
              <w:t>.</w:t>
            </w:r>
          </w:p>
        </w:tc>
        <w:tc>
          <w:tcPr>
            <w:tcW w:w="3651" w:type="dxa"/>
          </w:tcPr>
          <w:p w14:paraId="70C609E7" w14:textId="77777777" w:rsidR="00EE01E3" w:rsidRPr="00A54F23" w:rsidRDefault="00EE01E3" w:rsidP="00EE01E3">
            <w:pPr>
              <w:pStyle w:val="ListParagraph"/>
              <w:numPr>
                <w:ilvl w:val="0"/>
                <w:numId w:val="7"/>
              </w:numPr>
              <w:rPr>
                <w:rFonts w:cstheme="minorHAnsi"/>
                <w:sz w:val="20"/>
                <w:szCs w:val="20"/>
              </w:rPr>
            </w:pPr>
            <w:r w:rsidRPr="00A54F23">
              <w:rPr>
                <w:rFonts w:cstheme="minorHAnsi"/>
                <w:sz w:val="20"/>
                <w:szCs w:val="20"/>
              </w:rPr>
              <w:t xml:space="preserve">Each agency will conduct an Information Technology Security Policy and Standards Compliance Audit at least once every three years. (OCIO </w:t>
            </w:r>
            <w:hyperlink r:id="rId28" w:history="1">
              <w:r w:rsidRPr="00A54F23">
                <w:rPr>
                  <w:rStyle w:val="Hyperlink"/>
                  <w:rFonts w:cstheme="minorHAnsi"/>
                  <w:sz w:val="20"/>
                  <w:szCs w:val="20"/>
                </w:rPr>
                <w:t>policy 141</w:t>
              </w:r>
            </w:hyperlink>
            <w:r w:rsidRPr="00A54F23">
              <w:rPr>
                <w:rFonts w:cstheme="minorHAnsi"/>
                <w:sz w:val="20"/>
                <w:szCs w:val="20"/>
              </w:rPr>
              <w:t>)</w:t>
            </w:r>
          </w:p>
          <w:p w14:paraId="7B0473B5" w14:textId="189BC85D" w:rsidR="00EE01E3" w:rsidRPr="00A54F23" w:rsidRDefault="00EE01E3" w:rsidP="00EE01E3">
            <w:pPr>
              <w:pStyle w:val="ListParagraph"/>
              <w:numPr>
                <w:ilvl w:val="0"/>
                <w:numId w:val="7"/>
              </w:numPr>
              <w:rPr>
                <w:rFonts w:cstheme="minorHAnsi"/>
                <w:sz w:val="20"/>
                <w:szCs w:val="20"/>
              </w:rPr>
            </w:pPr>
            <w:r w:rsidRPr="00A54F23">
              <w:rPr>
                <w:rFonts w:cstheme="minorHAnsi"/>
                <w:sz w:val="20"/>
                <w:szCs w:val="20"/>
              </w:rPr>
              <w:t>Data Breach notification law</w:t>
            </w:r>
          </w:p>
        </w:tc>
        <w:tc>
          <w:tcPr>
            <w:tcW w:w="2464" w:type="dxa"/>
          </w:tcPr>
          <w:p w14:paraId="74D7DD36" w14:textId="77777777" w:rsidR="00EE01E3" w:rsidRPr="002B4ED9" w:rsidRDefault="00EE01E3" w:rsidP="00EE01E3">
            <w:pPr>
              <w:numPr>
                <w:ilvl w:val="0"/>
                <w:numId w:val="7"/>
              </w:numPr>
              <w:textAlignment w:val="center"/>
              <w:rPr>
                <w:rFonts w:eastAsia="Times New Roman" w:cstheme="minorHAnsi"/>
                <w:sz w:val="20"/>
                <w:szCs w:val="20"/>
              </w:rPr>
            </w:pPr>
            <w:r w:rsidRPr="002B4ED9">
              <w:rPr>
                <w:rFonts w:eastAsia="Times New Roman" w:cstheme="minorHAnsi"/>
                <w:sz w:val="20"/>
                <w:szCs w:val="20"/>
              </w:rPr>
              <w:t>Annual security assessment</w:t>
            </w:r>
          </w:p>
          <w:p w14:paraId="184E6791" w14:textId="77777777" w:rsidR="00EE01E3" w:rsidRPr="002B4ED9" w:rsidRDefault="00EE01E3" w:rsidP="00EE01E3">
            <w:pPr>
              <w:numPr>
                <w:ilvl w:val="0"/>
                <w:numId w:val="7"/>
              </w:numPr>
              <w:textAlignment w:val="center"/>
              <w:rPr>
                <w:rFonts w:eastAsia="Times New Roman" w:cstheme="minorHAnsi"/>
                <w:sz w:val="20"/>
                <w:szCs w:val="20"/>
              </w:rPr>
            </w:pPr>
            <w:r w:rsidRPr="002B4ED9">
              <w:rPr>
                <w:rFonts w:eastAsia="Times New Roman" w:cstheme="minorHAnsi"/>
                <w:sz w:val="20"/>
                <w:szCs w:val="20"/>
              </w:rPr>
              <w:t>Triennial audit</w:t>
            </w:r>
          </w:p>
          <w:p w14:paraId="12E7DE66" w14:textId="77777777" w:rsidR="00EE01E3" w:rsidRPr="002B4ED9" w:rsidRDefault="00EE01E3" w:rsidP="00EE01E3">
            <w:pPr>
              <w:numPr>
                <w:ilvl w:val="0"/>
                <w:numId w:val="7"/>
              </w:numPr>
              <w:textAlignment w:val="center"/>
              <w:rPr>
                <w:rFonts w:eastAsia="Times New Roman" w:cstheme="minorHAnsi"/>
                <w:sz w:val="20"/>
                <w:szCs w:val="20"/>
              </w:rPr>
            </w:pPr>
            <w:r w:rsidRPr="002B4ED9">
              <w:rPr>
                <w:rFonts w:eastAsia="Times New Roman" w:cstheme="minorHAnsi"/>
                <w:sz w:val="20"/>
                <w:szCs w:val="20"/>
              </w:rPr>
              <w:t>Security Design Review prior to deployment</w:t>
            </w:r>
          </w:p>
          <w:p w14:paraId="644BB5C9" w14:textId="77777777" w:rsidR="00EE01E3" w:rsidRPr="002B4ED9" w:rsidRDefault="00EE01E3" w:rsidP="00EE01E3">
            <w:pPr>
              <w:numPr>
                <w:ilvl w:val="0"/>
                <w:numId w:val="7"/>
              </w:numPr>
              <w:textAlignment w:val="center"/>
              <w:rPr>
                <w:rFonts w:eastAsia="Times New Roman" w:cstheme="minorHAnsi"/>
                <w:sz w:val="20"/>
                <w:szCs w:val="20"/>
              </w:rPr>
            </w:pPr>
            <w:r w:rsidRPr="002B4ED9">
              <w:rPr>
                <w:rFonts w:eastAsia="Times New Roman" w:cstheme="minorHAnsi"/>
                <w:sz w:val="20"/>
                <w:szCs w:val="20"/>
              </w:rPr>
              <w:t>Chief Information Security Officer on staff</w:t>
            </w:r>
          </w:p>
          <w:p w14:paraId="4789CBD7" w14:textId="77777777" w:rsidR="00EE01E3" w:rsidRPr="002B4ED9" w:rsidRDefault="00EE01E3" w:rsidP="00EE01E3">
            <w:pPr>
              <w:numPr>
                <w:ilvl w:val="0"/>
                <w:numId w:val="7"/>
              </w:numPr>
              <w:textAlignment w:val="center"/>
              <w:rPr>
                <w:rFonts w:eastAsia="Times New Roman" w:cstheme="minorHAnsi"/>
                <w:sz w:val="20"/>
                <w:szCs w:val="20"/>
              </w:rPr>
            </w:pPr>
            <w:r w:rsidRPr="002B4ED9">
              <w:rPr>
                <w:rFonts w:eastAsia="Times New Roman" w:cstheme="minorHAnsi"/>
                <w:sz w:val="20"/>
                <w:szCs w:val="20"/>
              </w:rPr>
              <w:t>Encryption in transit and at rest</w:t>
            </w:r>
          </w:p>
          <w:p w14:paraId="0C5DDF8F" w14:textId="77777777" w:rsidR="00EE01E3" w:rsidRDefault="00EE01E3" w:rsidP="00EE01E3">
            <w:pPr>
              <w:numPr>
                <w:ilvl w:val="0"/>
                <w:numId w:val="7"/>
              </w:numPr>
              <w:textAlignment w:val="center"/>
              <w:rPr>
                <w:rFonts w:eastAsia="Times New Roman" w:cstheme="minorHAnsi"/>
                <w:sz w:val="20"/>
                <w:szCs w:val="20"/>
              </w:rPr>
            </w:pPr>
            <w:r w:rsidRPr="002B4ED9">
              <w:rPr>
                <w:rFonts w:eastAsia="Times New Roman" w:cstheme="minorHAnsi"/>
                <w:sz w:val="20"/>
                <w:szCs w:val="20"/>
              </w:rPr>
              <w:t xml:space="preserve">De-identification / </w:t>
            </w:r>
            <w:proofErr w:type="spellStart"/>
            <w:r w:rsidRPr="002B4ED9">
              <w:rPr>
                <w:rFonts w:eastAsia="Times New Roman" w:cstheme="minorHAnsi"/>
                <w:sz w:val="20"/>
                <w:szCs w:val="20"/>
              </w:rPr>
              <w:t>Pseudonymization</w:t>
            </w:r>
            <w:proofErr w:type="spellEnd"/>
          </w:p>
          <w:p w14:paraId="7B2C99F1" w14:textId="18A66B73" w:rsidR="006D77BA" w:rsidRPr="002B4ED9" w:rsidRDefault="006D77BA" w:rsidP="00EE01E3">
            <w:pPr>
              <w:numPr>
                <w:ilvl w:val="0"/>
                <w:numId w:val="7"/>
              </w:numPr>
              <w:textAlignment w:val="center"/>
              <w:rPr>
                <w:rFonts w:eastAsia="Times New Roman" w:cstheme="minorHAnsi"/>
                <w:sz w:val="20"/>
                <w:szCs w:val="20"/>
              </w:rPr>
            </w:pPr>
            <w:r>
              <w:rPr>
                <w:rFonts w:eastAsia="Times New Roman" w:cstheme="minorHAnsi"/>
                <w:sz w:val="20"/>
                <w:szCs w:val="20"/>
              </w:rPr>
              <w:t xml:space="preserve">Privacy Impact </w:t>
            </w:r>
            <w:proofErr w:type="spellStart"/>
            <w:r>
              <w:rPr>
                <w:rFonts w:eastAsia="Times New Roman" w:cstheme="minorHAnsi"/>
                <w:sz w:val="20"/>
                <w:szCs w:val="20"/>
              </w:rPr>
              <w:t>Assesment</w:t>
            </w:r>
            <w:proofErr w:type="spellEnd"/>
            <w:r w:rsidR="00F6081F">
              <w:rPr>
                <w:rFonts w:eastAsia="Times New Roman" w:cstheme="minorHAnsi"/>
                <w:sz w:val="20"/>
                <w:szCs w:val="20"/>
              </w:rPr>
              <w:t xml:space="preserve"> (checklist)</w:t>
            </w:r>
          </w:p>
          <w:p w14:paraId="08562C5F" w14:textId="77777777" w:rsidR="00EE01E3" w:rsidRPr="00A54F23" w:rsidRDefault="00EE01E3" w:rsidP="00EE01E3">
            <w:pPr>
              <w:rPr>
                <w:rFonts w:cstheme="minorHAnsi"/>
                <w:sz w:val="20"/>
                <w:szCs w:val="20"/>
              </w:rPr>
            </w:pPr>
          </w:p>
        </w:tc>
      </w:tr>
    </w:tbl>
    <w:p w14:paraId="71D677DD" w14:textId="79ECD69B" w:rsidR="00037762" w:rsidRDefault="00037762"/>
    <w:p w14:paraId="6A64886A" w14:textId="0528FEF9" w:rsidR="00D27F2F" w:rsidRPr="002E5B18" w:rsidRDefault="00D27F2F">
      <w:pPr>
        <w:rPr>
          <w:sz w:val="20"/>
          <w:szCs w:val="20"/>
        </w:rPr>
      </w:pPr>
      <w:r w:rsidRPr="002E5B18">
        <w:rPr>
          <w:sz w:val="20"/>
          <w:szCs w:val="20"/>
        </w:rPr>
        <w:t>This table of principles was developed by Privacy Office staff, based on the United Nations Development Group (UNDP) Guidance Note on Big Data (</w:t>
      </w:r>
      <w:hyperlink r:id="rId29" w:history="1">
        <w:r w:rsidRPr="002E5B18">
          <w:rPr>
            <w:rStyle w:val="Hyperlink"/>
            <w:sz w:val="20"/>
            <w:szCs w:val="20"/>
          </w:rPr>
          <w:t>https://undg.org/wp-content/uploads/2017/11/UNDG_BigData_final_web.pdf</w:t>
        </w:r>
      </w:hyperlink>
      <w:r w:rsidRPr="002E5B18">
        <w:rPr>
          <w:sz w:val="20"/>
          <w:szCs w:val="20"/>
        </w:rPr>
        <w:t xml:space="preserve"> ), </w:t>
      </w:r>
      <w:hyperlink r:id="rId30" w:history="1">
        <w:r w:rsidRPr="002E5B18">
          <w:rPr>
            <w:rStyle w:val="Hyperlink"/>
            <w:sz w:val="20"/>
            <w:szCs w:val="20"/>
          </w:rPr>
          <w:t>Articles 5 Principles</w:t>
        </w:r>
      </w:hyperlink>
      <w:r w:rsidRPr="002E5B18">
        <w:rPr>
          <w:sz w:val="20"/>
          <w:szCs w:val="20"/>
        </w:rPr>
        <w:t xml:space="preserve"> of the General Data Protection Regulation (GDPR), and existing laws of Washington state.  </w:t>
      </w:r>
    </w:p>
    <w:sectPr w:rsidR="00D27F2F" w:rsidRPr="002E5B18" w:rsidSect="00EA0887">
      <w:headerReference w:type="default" r:id="rId31"/>
      <w:pgSz w:w="15840" w:h="24480"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53507" w14:textId="77777777" w:rsidR="00D27F2F" w:rsidRDefault="00D27F2F" w:rsidP="00D27F2F">
      <w:pPr>
        <w:spacing w:after="0" w:line="240" w:lineRule="auto"/>
      </w:pPr>
      <w:r>
        <w:separator/>
      </w:r>
    </w:p>
  </w:endnote>
  <w:endnote w:type="continuationSeparator" w:id="0">
    <w:p w14:paraId="1788DB10" w14:textId="77777777" w:rsidR="00D27F2F" w:rsidRDefault="00D27F2F" w:rsidP="00D2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4ACBC" w14:textId="77777777" w:rsidR="00D27F2F" w:rsidRDefault="00D27F2F" w:rsidP="00D27F2F">
      <w:pPr>
        <w:spacing w:after="0" w:line="240" w:lineRule="auto"/>
      </w:pPr>
      <w:r>
        <w:separator/>
      </w:r>
    </w:p>
  </w:footnote>
  <w:footnote w:type="continuationSeparator" w:id="0">
    <w:p w14:paraId="1BBAF5B2" w14:textId="77777777" w:rsidR="00D27F2F" w:rsidRDefault="00D27F2F" w:rsidP="00D27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F8630" w14:textId="550CB0AA" w:rsidR="00D27F2F" w:rsidRDefault="00D27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4695"/>
    <w:multiLevelType w:val="multilevel"/>
    <w:tmpl w:val="FB50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884DA4"/>
    <w:multiLevelType w:val="multilevel"/>
    <w:tmpl w:val="8FA8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B67A96"/>
    <w:multiLevelType w:val="multilevel"/>
    <w:tmpl w:val="2F46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2F016E"/>
    <w:multiLevelType w:val="multilevel"/>
    <w:tmpl w:val="342C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973C1E"/>
    <w:multiLevelType w:val="multilevel"/>
    <w:tmpl w:val="2C28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90104D"/>
    <w:multiLevelType w:val="multilevel"/>
    <w:tmpl w:val="3A845AAC"/>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6" w15:restartNumberingAfterBreak="0">
    <w:nsid w:val="5B7A1607"/>
    <w:multiLevelType w:val="multilevel"/>
    <w:tmpl w:val="9F5C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E755B1"/>
    <w:multiLevelType w:val="hybridMultilevel"/>
    <w:tmpl w:val="621A1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566741"/>
    <w:multiLevelType w:val="hybridMultilevel"/>
    <w:tmpl w:val="ECD2E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82"/>
    <w:rsid w:val="00005598"/>
    <w:rsid w:val="00037762"/>
    <w:rsid w:val="000C5A09"/>
    <w:rsid w:val="000E602E"/>
    <w:rsid w:val="00157B19"/>
    <w:rsid w:val="00160993"/>
    <w:rsid w:val="002B4ED9"/>
    <w:rsid w:val="002E5B18"/>
    <w:rsid w:val="002F3999"/>
    <w:rsid w:val="0061718C"/>
    <w:rsid w:val="00663140"/>
    <w:rsid w:val="006D77BA"/>
    <w:rsid w:val="00736F15"/>
    <w:rsid w:val="008A2D8B"/>
    <w:rsid w:val="00A54F23"/>
    <w:rsid w:val="00B2085A"/>
    <w:rsid w:val="00D06D76"/>
    <w:rsid w:val="00D27F2F"/>
    <w:rsid w:val="00D37EF7"/>
    <w:rsid w:val="00D8047F"/>
    <w:rsid w:val="00DD6A24"/>
    <w:rsid w:val="00E86FAB"/>
    <w:rsid w:val="00EA0887"/>
    <w:rsid w:val="00EE01E3"/>
    <w:rsid w:val="00EE0759"/>
    <w:rsid w:val="00F25924"/>
    <w:rsid w:val="00F6081F"/>
    <w:rsid w:val="00F93982"/>
    <w:rsid w:val="00FB68AC"/>
    <w:rsid w:val="00FC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B9FA0E"/>
  <w15:chartTrackingRefBased/>
  <w15:docId w15:val="{5CBA6B75-D22E-4E4C-BD52-41753D38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77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7762"/>
    <w:rPr>
      <w:color w:val="0000FF"/>
      <w:u w:val="single"/>
    </w:rPr>
  </w:style>
  <w:style w:type="paragraph" w:styleId="ListParagraph">
    <w:name w:val="List Paragraph"/>
    <w:basedOn w:val="Normal"/>
    <w:uiPriority w:val="34"/>
    <w:qFormat/>
    <w:rsid w:val="002B4ED9"/>
    <w:pPr>
      <w:ind w:left="720"/>
      <w:contextualSpacing/>
    </w:pPr>
  </w:style>
  <w:style w:type="paragraph" w:styleId="Title">
    <w:name w:val="Title"/>
    <w:basedOn w:val="Normal"/>
    <w:next w:val="Normal"/>
    <w:link w:val="TitleChar"/>
    <w:uiPriority w:val="10"/>
    <w:qFormat/>
    <w:rsid w:val="00DD6A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6A2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27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2F"/>
  </w:style>
  <w:style w:type="paragraph" w:styleId="Footer">
    <w:name w:val="footer"/>
    <w:basedOn w:val="Normal"/>
    <w:link w:val="FooterChar"/>
    <w:uiPriority w:val="99"/>
    <w:unhideWhenUsed/>
    <w:rsid w:val="00D27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2F"/>
  </w:style>
  <w:style w:type="paragraph" w:styleId="BalloonText">
    <w:name w:val="Balloon Text"/>
    <w:basedOn w:val="Normal"/>
    <w:link w:val="BalloonTextChar"/>
    <w:uiPriority w:val="99"/>
    <w:semiHidden/>
    <w:unhideWhenUsed/>
    <w:rsid w:val="00EE0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1E3"/>
    <w:rPr>
      <w:rFonts w:ascii="Segoe UI" w:hAnsi="Segoe UI" w:cs="Segoe UI"/>
      <w:sz w:val="18"/>
      <w:szCs w:val="18"/>
    </w:rPr>
  </w:style>
  <w:style w:type="character" w:styleId="FollowedHyperlink">
    <w:name w:val="FollowedHyperlink"/>
    <w:basedOn w:val="DefaultParagraphFont"/>
    <w:uiPriority w:val="99"/>
    <w:semiHidden/>
    <w:unhideWhenUsed/>
    <w:rsid w:val="00E86FAB"/>
    <w:rPr>
      <w:color w:val="954F72" w:themeColor="followedHyperlink"/>
      <w:u w:val="single"/>
    </w:rPr>
  </w:style>
  <w:style w:type="paragraph" w:styleId="Revision">
    <w:name w:val="Revision"/>
    <w:hidden/>
    <w:uiPriority w:val="99"/>
    <w:semiHidden/>
    <w:rsid w:val="006D77BA"/>
    <w:pPr>
      <w:spacing w:after="0" w:line="240" w:lineRule="auto"/>
    </w:pPr>
  </w:style>
  <w:style w:type="character" w:styleId="CommentReference">
    <w:name w:val="annotation reference"/>
    <w:basedOn w:val="DefaultParagraphFont"/>
    <w:uiPriority w:val="99"/>
    <w:semiHidden/>
    <w:unhideWhenUsed/>
    <w:rsid w:val="006D77BA"/>
    <w:rPr>
      <w:sz w:val="16"/>
      <w:szCs w:val="16"/>
    </w:rPr>
  </w:style>
  <w:style w:type="paragraph" w:styleId="CommentText">
    <w:name w:val="annotation text"/>
    <w:basedOn w:val="Normal"/>
    <w:link w:val="CommentTextChar"/>
    <w:uiPriority w:val="99"/>
    <w:semiHidden/>
    <w:unhideWhenUsed/>
    <w:rsid w:val="006D77BA"/>
    <w:pPr>
      <w:spacing w:line="240" w:lineRule="auto"/>
    </w:pPr>
    <w:rPr>
      <w:sz w:val="20"/>
      <w:szCs w:val="20"/>
    </w:rPr>
  </w:style>
  <w:style w:type="character" w:customStyle="1" w:styleId="CommentTextChar">
    <w:name w:val="Comment Text Char"/>
    <w:basedOn w:val="DefaultParagraphFont"/>
    <w:link w:val="CommentText"/>
    <w:uiPriority w:val="99"/>
    <w:semiHidden/>
    <w:rsid w:val="006D77BA"/>
    <w:rPr>
      <w:sz w:val="20"/>
      <w:szCs w:val="20"/>
    </w:rPr>
  </w:style>
  <w:style w:type="paragraph" w:styleId="CommentSubject">
    <w:name w:val="annotation subject"/>
    <w:basedOn w:val="CommentText"/>
    <w:next w:val="CommentText"/>
    <w:link w:val="CommentSubjectChar"/>
    <w:uiPriority w:val="99"/>
    <w:semiHidden/>
    <w:unhideWhenUsed/>
    <w:rsid w:val="006D77BA"/>
    <w:rPr>
      <w:b/>
      <w:bCs/>
    </w:rPr>
  </w:style>
  <w:style w:type="character" w:customStyle="1" w:styleId="CommentSubjectChar">
    <w:name w:val="Comment Subject Char"/>
    <w:basedOn w:val="CommentTextChar"/>
    <w:link w:val="CommentSubject"/>
    <w:uiPriority w:val="99"/>
    <w:semiHidden/>
    <w:rsid w:val="006D77BA"/>
    <w:rPr>
      <w:b/>
      <w:bCs/>
      <w:sz w:val="20"/>
      <w:szCs w:val="20"/>
    </w:rPr>
  </w:style>
  <w:style w:type="character" w:styleId="PlaceholderText">
    <w:name w:val="Placeholder Text"/>
    <w:basedOn w:val="DefaultParagraphFont"/>
    <w:uiPriority w:val="99"/>
    <w:semiHidden/>
    <w:rsid w:val="00EA0887"/>
    <w:rPr>
      <w:color w:val="808080"/>
    </w:rPr>
  </w:style>
  <w:style w:type="paragraph" w:customStyle="1" w:styleId="Default">
    <w:name w:val="Default"/>
    <w:rsid w:val="00FC3F00"/>
    <w:pPr>
      <w:autoSpaceDE w:val="0"/>
      <w:autoSpaceDN w:val="0"/>
      <w:adjustRightInd w:val="0"/>
      <w:spacing w:after="0" w:line="240" w:lineRule="auto"/>
    </w:pPr>
    <w:rPr>
      <w:rFonts w:ascii="Courier New PSMT" w:hAnsi="Courier New PSMT" w:cs="Courier New PS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1084">
      <w:bodyDiv w:val="1"/>
      <w:marLeft w:val="0"/>
      <w:marRight w:val="0"/>
      <w:marTop w:val="0"/>
      <w:marBottom w:val="0"/>
      <w:divBdr>
        <w:top w:val="none" w:sz="0" w:space="0" w:color="auto"/>
        <w:left w:val="none" w:sz="0" w:space="0" w:color="auto"/>
        <w:bottom w:val="none" w:sz="0" w:space="0" w:color="auto"/>
        <w:right w:val="none" w:sz="0" w:space="0" w:color="auto"/>
      </w:divBdr>
    </w:div>
    <w:div w:id="78061056">
      <w:bodyDiv w:val="1"/>
      <w:marLeft w:val="0"/>
      <w:marRight w:val="0"/>
      <w:marTop w:val="0"/>
      <w:marBottom w:val="0"/>
      <w:divBdr>
        <w:top w:val="none" w:sz="0" w:space="0" w:color="auto"/>
        <w:left w:val="none" w:sz="0" w:space="0" w:color="auto"/>
        <w:bottom w:val="none" w:sz="0" w:space="0" w:color="auto"/>
        <w:right w:val="none" w:sz="0" w:space="0" w:color="auto"/>
      </w:divBdr>
    </w:div>
    <w:div w:id="230435318">
      <w:bodyDiv w:val="1"/>
      <w:marLeft w:val="0"/>
      <w:marRight w:val="0"/>
      <w:marTop w:val="0"/>
      <w:marBottom w:val="0"/>
      <w:divBdr>
        <w:top w:val="none" w:sz="0" w:space="0" w:color="auto"/>
        <w:left w:val="none" w:sz="0" w:space="0" w:color="auto"/>
        <w:bottom w:val="none" w:sz="0" w:space="0" w:color="auto"/>
        <w:right w:val="none" w:sz="0" w:space="0" w:color="auto"/>
      </w:divBdr>
    </w:div>
    <w:div w:id="274948401">
      <w:bodyDiv w:val="1"/>
      <w:marLeft w:val="0"/>
      <w:marRight w:val="0"/>
      <w:marTop w:val="0"/>
      <w:marBottom w:val="0"/>
      <w:divBdr>
        <w:top w:val="none" w:sz="0" w:space="0" w:color="auto"/>
        <w:left w:val="none" w:sz="0" w:space="0" w:color="auto"/>
        <w:bottom w:val="none" w:sz="0" w:space="0" w:color="auto"/>
        <w:right w:val="none" w:sz="0" w:space="0" w:color="auto"/>
      </w:divBdr>
    </w:div>
    <w:div w:id="457649496">
      <w:bodyDiv w:val="1"/>
      <w:marLeft w:val="0"/>
      <w:marRight w:val="0"/>
      <w:marTop w:val="0"/>
      <w:marBottom w:val="0"/>
      <w:divBdr>
        <w:top w:val="none" w:sz="0" w:space="0" w:color="auto"/>
        <w:left w:val="none" w:sz="0" w:space="0" w:color="auto"/>
        <w:bottom w:val="none" w:sz="0" w:space="0" w:color="auto"/>
        <w:right w:val="none" w:sz="0" w:space="0" w:color="auto"/>
      </w:divBdr>
    </w:div>
    <w:div w:id="634413982">
      <w:bodyDiv w:val="1"/>
      <w:marLeft w:val="0"/>
      <w:marRight w:val="0"/>
      <w:marTop w:val="0"/>
      <w:marBottom w:val="0"/>
      <w:divBdr>
        <w:top w:val="none" w:sz="0" w:space="0" w:color="auto"/>
        <w:left w:val="none" w:sz="0" w:space="0" w:color="auto"/>
        <w:bottom w:val="none" w:sz="0" w:space="0" w:color="auto"/>
        <w:right w:val="none" w:sz="0" w:space="0" w:color="auto"/>
      </w:divBdr>
    </w:div>
    <w:div w:id="773014507">
      <w:bodyDiv w:val="1"/>
      <w:marLeft w:val="0"/>
      <w:marRight w:val="0"/>
      <w:marTop w:val="0"/>
      <w:marBottom w:val="0"/>
      <w:divBdr>
        <w:top w:val="none" w:sz="0" w:space="0" w:color="auto"/>
        <w:left w:val="none" w:sz="0" w:space="0" w:color="auto"/>
        <w:bottom w:val="none" w:sz="0" w:space="0" w:color="auto"/>
        <w:right w:val="none" w:sz="0" w:space="0" w:color="auto"/>
      </w:divBdr>
    </w:div>
    <w:div w:id="800683575">
      <w:bodyDiv w:val="1"/>
      <w:marLeft w:val="0"/>
      <w:marRight w:val="0"/>
      <w:marTop w:val="0"/>
      <w:marBottom w:val="0"/>
      <w:divBdr>
        <w:top w:val="none" w:sz="0" w:space="0" w:color="auto"/>
        <w:left w:val="none" w:sz="0" w:space="0" w:color="auto"/>
        <w:bottom w:val="none" w:sz="0" w:space="0" w:color="auto"/>
        <w:right w:val="none" w:sz="0" w:space="0" w:color="auto"/>
      </w:divBdr>
    </w:div>
    <w:div w:id="869034104">
      <w:bodyDiv w:val="1"/>
      <w:marLeft w:val="0"/>
      <w:marRight w:val="0"/>
      <w:marTop w:val="0"/>
      <w:marBottom w:val="0"/>
      <w:divBdr>
        <w:top w:val="none" w:sz="0" w:space="0" w:color="auto"/>
        <w:left w:val="none" w:sz="0" w:space="0" w:color="auto"/>
        <w:bottom w:val="none" w:sz="0" w:space="0" w:color="auto"/>
        <w:right w:val="none" w:sz="0" w:space="0" w:color="auto"/>
      </w:divBdr>
    </w:div>
    <w:div w:id="872381614">
      <w:bodyDiv w:val="1"/>
      <w:marLeft w:val="0"/>
      <w:marRight w:val="0"/>
      <w:marTop w:val="0"/>
      <w:marBottom w:val="0"/>
      <w:divBdr>
        <w:top w:val="none" w:sz="0" w:space="0" w:color="auto"/>
        <w:left w:val="none" w:sz="0" w:space="0" w:color="auto"/>
        <w:bottom w:val="none" w:sz="0" w:space="0" w:color="auto"/>
        <w:right w:val="none" w:sz="0" w:space="0" w:color="auto"/>
      </w:divBdr>
    </w:div>
    <w:div w:id="1162428592">
      <w:bodyDiv w:val="1"/>
      <w:marLeft w:val="0"/>
      <w:marRight w:val="0"/>
      <w:marTop w:val="0"/>
      <w:marBottom w:val="0"/>
      <w:divBdr>
        <w:top w:val="none" w:sz="0" w:space="0" w:color="auto"/>
        <w:left w:val="none" w:sz="0" w:space="0" w:color="auto"/>
        <w:bottom w:val="none" w:sz="0" w:space="0" w:color="auto"/>
        <w:right w:val="none" w:sz="0" w:space="0" w:color="auto"/>
      </w:divBdr>
    </w:div>
    <w:div w:id="1336568435">
      <w:bodyDiv w:val="1"/>
      <w:marLeft w:val="0"/>
      <w:marRight w:val="0"/>
      <w:marTop w:val="0"/>
      <w:marBottom w:val="0"/>
      <w:divBdr>
        <w:top w:val="none" w:sz="0" w:space="0" w:color="auto"/>
        <w:left w:val="none" w:sz="0" w:space="0" w:color="auto"/>
        <w:bottom w:val="none" w:sz="0" w:space="0" w:color="auto"/>
        <w:right w:val="none" w:sz="0" w:space="0" w:color="auto"/>
      </w:divBdr>
    </w:div>
    <w:div w:id="1502310585">
      <w:bodyDiv w:val="1"/>
      <w:marLeft w:val="0"/>
      <w:marRight w:val="0"/>
      <w:marTop w:val="0"/>
      <w:marBottom w:val="0"/>
      <w:divBdr>
        <w:top w:val="none" w:sz="0" w:space="0" w:color="auto"/>
        <w:left w:val="none" w:sz="0" w:space="0" w:color="auto"/>
        <w:bottom w:val="none" w:sz="0" w:space="0" w:color="auto"/>
        <w:right w:val="none" w:sz="0" w:space="0" w:color="auto"/>
      </w:divBdr>
    </w:div>
    <w:div w:id="1670793489">
      <w:bodyDiv w:val="1"/>
      <w:marLeft w:val="0"/>
      <w:marRight w:val="0"/>
      <w:marTop w:val="0"/>
      <w:marBottom w:val="0"/>
      <w:divBdr>
        <w:top w:val="none" w:sz="0" w:space="0" w:color="auto"/>
        <w:left w:val="none" w:sz="0" w:space="0" w:color="auto"/>
        <w:bottom w:val="none" w:sz="0" w:space="0" w:color="auto"/>
        <w:right w:val="none" w:sz="0" w:space="0" w:color="auto"/>
      </w:divBdr>
    </w:div>
    <w:div w:id="1783839164">
      <w:bodyDiv w:val="1"/>
      <w:marLeft w:val="0"/>
      <w:marRight w:val="0"/>
      <w:marTop w:val="0"/>
      <w:marBottom w:val="0"/>
      <w:divBdr>
        <w:top w:val="none" w:sz="0" w:space="0" w:color="auto"/>
        <w:left w:val="none" w:sz="0" w:space="0" w:color="auto"/>
        <w:bottom w:val="none" w:sz="0" w:space="0" w:color="auto"/>
        <w:right w:val="none" w:sz="0" w:space="0" w:color="auto"/>
      </w:divBdr>
    </w:div>
    <w:div w:id="1786535047">
      <w:bodyDiv w:val="1"/>
      <w:marLeft w:val="0"/>
      <w:marRight w:val="0"/>
      <w:marTop w:val="0"/>
      <w:marBottom w:val="0"/>
      <w:divBdr>
        <w:top w:val="none" w:sz="0" w:space="0" w:color="auto"/>
        <w:left w:val="none" w:sz="0" w:space="0" w:color="auto"/>
        <w:bottom w:val="none" w:sz="0" w:space="0" w:color="auto"/>
        <w:right w:val="none" w:sz="0" w:space="0" w:color="auto"/>
      </w:divBdr>
    </w:div>
    <w:div w:id="1870947617">
      <w:bodyDiv w:val="1"/>
      <w:marLeft w:val="0"/>
      <w:marRight w:val="0"/>
      <w:marTop w:val="0"/>
      <w:marBottom w:val="0"/>
      <w:divBdr>
        <w:top w:val="none" w:sz="0" w:space="0" w:color="auto"/>
        <w:left w:val="none" w:sz="0" w:space="0" w:color="auto"/>
        <w:bottom w:val="none" w:sz="0" w:space="0" w:color="auto"/>
        <w:right w:val="none" w:sz="0" w:space="0" w:color="auto"/>
      </w:divBdr>
    </w:div>
    <w:div w:id="1959799154">
      <w:bodyDiv w:val="1"/>
      <w:marLeft w:val="0"/>
      <w:marRight w:val="0"/>
      <w:marTop w:val="0"/>
      <w:marBottom w:val="0"/>
      <w:divBdr>
        <w:top w:val="none" w:sz="0" w:space="0" w:color="auto"/>
        <w:left w:val="none" w:sz="0" w:space="0" w:color="auto"/>
        <w:bottom w:val="none" w:sz="0" w:space="0" w:color="auto"/>
        <w:right w:val="none" w:sz="0" w:space="0" w:color="auto"/>
      </w:divBdr>
    </w:div>
    <w:div w:id="197679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wachecklist.herokuapp.com/checklists/checklist/data-mapping" TargetMode="External"/><Relationship Id="rId26" Type="http://schemas.openxmlformats.org/officeDocument/2006/relationships/hyperlink" Target="https://wachecklist.herokuapp.com/checklists/checklist/publishing-open-data" TargetMode="External"/><Relationship Id="rId3" Type="http://schemas.openxmlformats.org/officeDocument/2006/relationships/customXml" Target="../customXml/item3.xml"/><Relationship Id="rId21" Type="http://schemas.openxmlformats.org/officeDocument/2006/relationships/hyperlink" Target="http://governor.wa.gov/sites/default/files/exe_order/eo_17-01.pdf" TargetMode="Externa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governor.wa.gov/sites/default/files/exe_order/eo_16-01.pdf" TargetMode="External"/><Relationship Id="rId25" Type="http://schemas.openxmlformats.org/officeDocument/2006/relationships/hyperlink" Target="http://app.leg.wa.gov/RCW/default.aspx?cite=43.105.36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achecklist.herokuapp.com/checklists/checklist/data-sharing" TargetMode="External"/><Relationship Id="rId29" Type="http://schemas.openxmlformats.org/officeDocument/2006/relationships/hyperlink" Target="https://undg.org/wp-content/uploads/2017/11/UNDG_BigData_final_web.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cio.wa.gov/policy/open-data-plannin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app.leg.wa.gov/RCW/default.aspx?cite=43.105.351" TargetMode="External"/><Relationship Id="rId28" Type="http://schemas.openxmlformats.org/officeDocument/2006/relationships/hyperlink" Target="https://ocio.wa.gov/policy/securing-information-technology-assets" TargetMode="External"/><Relationship Id="rId10" Type="http://schemas.openxmlformats.org/officeDocument/2006/relationships/footnotes" Target="footnotes.xml"/><Relationship Id="rId19" Type="http://schemas.openxmlformats.org/officeDocument/2006/relationships/hyperlink" Target="http://governor.wa.gov/sites/default/files/exe_order/eo_16-01.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s://app.leg.wa.gov/billsummary?BillNumber=5497&amp;Year=2019&amp;Initiative=False" TargetMode="External"/><Relationship Id="rId27" Type="http://schemas.openxmlformats.org/officeDocument/2006/relationships/hyperlink" Target="https://data.wa.gov/dataset/Open-Data-Planning-Maturity/5r58-ib3h" TargetMode="External"/><Relationship Id="rId30" Type="http://schemas.openxmlformats.org/officeDocument/2006/relationships/hyperlink" Target="https://ico.org.uk/for-organisations/guide-to-the-general-data-protection-regulation-gdpr/principles/" TargetMode="External"/><Relationship Id="rId8"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03A77F-7389-4E8E-B731-293322C1EF68}" type="doc">
      <dgm:prSet loTypeId="urn:microsoft.com/office/officeart/2011/layout/HexagonRadial" loCatId="cycle" qsTypeId="urn:microsoft.com/office/officeart/2005/8/quickstyle/simple2" qsCatId="simple" csTypeId="urn:microsoft.com/office/officeart/2005/8/colors/colorful3" csCatId="colorful" phldr="1"/>
      <dgm:spPr/>
      <dgm:t>
        <a:bodyPr/>
        <a:lstStyle/>
        <a:p>
          <a:endParaRPr lang="en-US"/>
        </a:p>
      </dgm:t>
    </dgm:pt>
    <dgm:pt modelId="{6C3E4448-F7F4-445B-B1A4-1A8A384048EF}">
      <dgm:prSet phldrT="[Text]"/>
      <dgm:spPr/>
      <dgm:t>
        <a:bodyPr/>
        <a:lstStyle/>
        <a:p>
          <a:pPr algn="ctr"/>
          <a:r>
            <a:rPr lang="en-US"/>
            <a:t>Stewardship: Lawful, Fair &amp; Responsible Use of Data</a:t>
          </a:r>
        </a:p>
      </dgm:t>
    </dgm:pt>
    <dgm:pt modelId="{6664F7F2-C574-48F2-9C6A-74E02C945746}" type="parTrans" cxnId="{C4AB1A04-057E-43C1-8DB7-90DFEDC5FD26}">
      <dgm:prSet/>
      <dgm:spPr/>
      <dgm:t>
        <a:bodyPr/>
        <a:lstStyle/>
        <a:p>
          <a:endParaRPr lang="en-US"/>
        </a:p>
      </dgm:t>
    </dgm:pt>
    <dgm:pt modelId="{4685FF6A-D8D2-4D82-B0F9-FDE80B7D4DEC}" type="sibTrans" cxnId="{C4AB1A04-057E-43C1-8DB7-90DFEDC5FD26}">
      <dgm:prSet/>
      <dgm:spPr/>
      <dgm:t>
        <a:bodyPr/>
        <a:lstStyle/>
        <a:p>
          <a:endParaRPr lang="en-US"/>
        </a:p>
      </dgm:t>
    </dgm:pt>
    <dgm:pt modelId="{DABE7A2B-8693-45F7-9B4D-3E76AD451BEA}">
      <dgm:prSet phldrT="[Text]"/>
      <dgm:spPr/>
      <dgm:t>
        <a:bodyPr/>
        <a:lstStyle/>
        <a:p>
          <a:r>
            <a:rPr lang="en-US"/>
            <a:t>Minimization</a:t>
          </a:r>
        </a:p>
      </dgm:t>
    </dgm:pt>
    <dgm:pt modelId="{6FA0BB9A-264D-4649-9D67-9D63E39C0FD2}" type="parTrans" cxnId="{C4D6E112-8F94-4D8A-84E2-901460C8FE02}">
      <dgm:prSet/>
      <dgm:spPr/>
      <dgm:t>
        <a:bodyPr/>
        <a:lstStyle/>
        <a:p>
          <a:endParaRPr lang="en-US"/>
        </a:p>
      </dgm:t>
    </dgm:pt>
    <dgm:pt modelId="{F2395847-EF40-42CB-A3AC-A271EF3E8768}" type="sibTrans" cxnId="{C4D6E112-8F94-4D8A-84E2-901460C8FE02}">
      <dgm:prSet/>
      <dgm:spPr/>
      <dgm:t>
        <a:bodyPr/>
        <a:lstStyle/>
        <a:p>
          <a:endParaRPr lang="en-US"/>
        </a:p>
      </dgm:t>
    </dgm:pt>
    <dgm:pt modelId="{43A7893D-FAC9-4BC7-A050-9BFB89FD6EAD}">
      <dgm:prSet phldrT="[Text]"/>
      <dgm:spPr/>
      <dgm:t>
        <a:bodyPr/>
        <a:lstStyle/>
        <a:p>
          <a:r>
            <a:rPr lang="en-US"/>
            <a:t>Diligence</a:t>
          </a:r>
        </a:p>
      </dgm:t>
    </dgm:pt>
    <dgm:pt modelId="{171C2711-86ED-426A-9804-961CA3A61B84}" type="parTrans" cxnId="{80212D73-78BE-4A63-A03F-AC50D4301C16}">
      <dgm:prSet/>
      <dgm:spPr/>
      <dgm:t>
        <a:bodyPr/>
        <a:lstStyle/>
        <a:p>
          <a:endParaRPr lang="en-US"/>
        </a:p>
      </dgm:t>
    </dgm:pt>
    <dgm:pt modelId="{41B4BA37-933F-4172-8992-875493BDD778}" type="sibTrans" cxnId="{80212D73-78BE-4A63-A03F-AC50D4301C16}">
      <dgm:prSet/>
      <dgm:spPr/>
      <dgm:t>
        <a:bodyPr/>
        <a:lstStyle/>
        <a:p>
          <a:endParaRPr lang="en-US"/>
        </a:p>
      </dgm:t>
    </dgm:pt>
    <dgm:pt modelId="{95214CAF-23A7-4A19-97EA-B043C9D1189A}">
      <dgm:prSet phldrT="[Text]"/>
      <dgm:spPr/>
      <dgm:t>
        <a:bodyPr/>
        <a:lstStyle/>
        <a:p>
          <a:r>
            <a:rPr lang="en-US"/>
            <a:t>Quality + Accuracy</a:t>
          </a:r>
        </a:p>
      </dgm:t>
    </dgm:pt>
    <dgm:pt modelId="{4F94BC7F-BE9C-4EB6-B7D4-F72C13D383D8}" type="parTrans" cxnId="{4B74E740-3FC4-47A2-8579-363788115906}">
      <dgm:prSet/>
      <dgm:spPr/>
      <dgm:t>
        <a:bodyPr/>
        <a:lstStyle/>
        <a:p>
          <a:endParaRPr lang="en-US"/>
        </a:p>
      </dgm:t>
    </dgm:pt>
    <dgm:pt modelId="{8A5C8815-A4E3-4C47-A87F-1023D5F36072}" type="sibTrans" cxnId="{4B74E740-3FC4-47A2-8579-363788115906}">
      <dgm:prSet/>
      <dgm:spPr/>
      <dgm:t>
        <a:bodyPr/>
        <a:lstStyle/>
        <a:p>
          <a:endParaRPr lang="en-US"/>
        </a:p>
      </dgm:t>
    </dgm:pt>
    <dgm:pt modelId="{8B7FF0A2-F3FC-47C3-AB0D-AEBF8852B836}">
      <dgm:prSet phldrT="[Text]"/>
      <dgm:spPr/>
      <dgm:t>
        <a:bodyPr/>
        <a:lstStyle/>
        <a:p>
          <a:r>
            <a:rPr lang="en-US"/>
            <a:t>Open &amp; Accountable</a:t>
          </a:r>
        </a:p>
      </dgm:t>
    </dgm:pt>
    <dgm:pt modelId="{02F28B94-647F-41F8-9733-02BA831B7E7C}" type="parTrans" cxnId="{91EA6A81-7193-4EAE-8C78-DBE8FFC48125}">
      <dgm:prSet/>
      <dgm:spPr/>
      <dgm:t>
        <a:bodyPr/>
        <a:lstStyle/>
        <a:p>
          <a:endParaRPr lang="en-US"/>
        </a:p>
      </dgm:t>
    </dgm:pt>
    <dgm:pt modelId="{3F3007B3-ADA6-4A47-A787-5E86976AF3EB}" type="sibTrans" cxnId="{91EA6A81-7193-4EAE-8C78-DBE8FFC48125}">
      <dgm:prSet/>
      <dgm:spPr/>
      <dgm:t>
        <a:bodyPr/>
        <a:lstStyle/>
        <a:p>
          <a:endParaRPr lang="en-US"/>
        </a:p>
      </dgm:t>
    </dgm:pt>
    <dgm:pt modelId="{75FAB8B4-44C4-4D85-B27E-FF9591DFA7A4}">
      <dgm:prSet phldrT="[Text]"/>
      <dgm:spPr/>
      <dgm:t>
        <a:bodyPr/>
        <a:lstStyle/>
        <a:p>
          <a:r>
            <a:rPr lang="en-US"/>
            <a:t>Security</a:t>
          </a:r>
        </a:p>
      </dgm:t>
    </dgm:pt>
    <dgm:pt modelId="{AE6BA250-90B5-451A-A03F-C9EAF87A0FE9}" type="parTrans" cxnId="{E8035BCD-14BC-40F7-85F0-5D1630D81468}">
      <dgm:prSet/>
      <dgm:spPr/>
      <dgm:t>
        <a:bodyPr/>
        <a:lstStyle/>
        <a:p>
          <a:endParaRPr lang="en-US"/>
        </a:p>
      </dgm:t>
    </dgm:pt>
    <dgm:pt modelId="{D3B69D72-B989-4947-B873-80B6C83D802E}" type="sibTrans" cxnId="{E8035BCD-14BC-40F7-85F0-5D1630D81468}">
      <dgm:prSet/>
      <dgm:spPr/>
      <dgm:t>
        <a:bodyPr/>
        <a:lstStyle/>
        <a:p>
          <a:endParaRPr lang="en-US"/>
        </a:p>
      </dgm:t>
    </dgm:pt>
    <dgm:pt modelId="{B7830545-F693-41D1-8256-44D805FF9D78}">
      <dgm:prSet phldrT="[Text]"/>
      <dgm:spPr/>
      <dgm:t>
        <a:bodyPr/>
        <a:lstStyle/>
        <a:p>
          <a:r>
            <a:rPr lang="en-US"/>
            <a:t>Context Sensitivity</a:t>
          </a:r>
        </a:p>
      </dgm:t>
    </dgm:pt>
    <dgm:pt modelId="{355374DE-FDA0-4598-A24D-D31A854EAAF5}" type="parTrans" cxnId="{D671367A-006E-4329-A44D-966879311B2F}">
      <dgm:prSet/>
      <dgm:spPr/>
      <dgm:t>
        <a:bodyPr/>
        <a:lstStyle/>
        <a:p>
          <a:endParaRPr lang="en-US"/>
        </a:p>
      </dgm:t>
    </dgm:pt>
    <dgm:pt modelId="{43A03AF7-2164-4BFA-AC73-2B4469916508}" type="sibTrans" cxnId="{D671367A-006E-4329-A44D-966879311B2F}">
      <dgm:prSet/>
      <dgm:spPr/>
      <dgm:t>
        <a:bodyPr/>
        <a:lstStyle/>
        <a:p>
          <a:endParaRPr lang="en-US"/>
        </a:p>
      </dgm:t>
    </dgm:pt>
    <dgm:pt modelId="{61AFCE02-7D21-4608-B956-3352D8FEF69A}" type="pres">
      <dgm:prSet presAssocID="{D503A77F-7389-4E8E-B731-293322C1EF68}" presName="Name0" presStyleCnt="0">
        <dgm:presLayoutVars>
          <dgm:chMax val="1"/>
          <dgm:chPref val="1"/>
          <dgm:dir/>
          <dgm:animOne val="branch"/>
          <dgm:animLvl val="lvl"/>
        </dgm:presLayoutVars>
      </dgm:prSet>
      <dgm:spPr/>
      <dgm:t>
        <a:bodyPr/>
        <a:lstStyle/>
        <a:p>
          <a:endParaRPr lang="en-US"/>
        </a:p>
      </dgm:t>
    </dgm:pt>
    <dgm:pt modelId="{9C034D1D-B423-4D51-AF98-1D12C3FFF621}" type="pres">
      <dgm:prSet presAssocID="{6C3E4448-F7F4-445B-B1A4-1A8A384048EF}" presName="Parent" presStyleLbl="node0" presStyleIdx="0" presStyleCnt="1">
        <dgm:presLayoutVars>
          <dgm:chMax val="6"/>
          <dgm:chPref val="6"/>
        </dgm:presLayoutVars>
      </dgm:prSet>
      <dgm:spPr/>
      <dgm:t>
        <a:bodyPr/>
        <a:lstStyle/>
        <a:p>
          <a:endParaRPr lang="en-US"/>
        </a:p>
      </dgm:t>
    </dgm:pt>
    <dgm:pt modelId="{D89F0955-1490-41F6-B5DA-C478BCB8F420}" type="pres">
      <dgm:prSet presAssocID="{DABE7A2B-8693-45F7-9B4D-3E76AD451BEA}" presName="Accent1" presStyleCnt="0"/>
      <dgm:spPr/>
    </dgm:pt>
    <dgm:pt modelId="{B53CDBEC-43E0-489F-B7C4-D436DFA29354}" type="pres">
      <dgm:prSet presAssocID="{DABE7A2B-8693-45F7-9B4D-3E76AD451BEA}" presName="Accent" presStyleLbl="bgShp" presStyleIdx="0" presStyleCnt="6"/>
      <dgm:spPr/>
    </dgm:pt>
    <dgm:pt modelId="{169F4488-F49C-483D-95C2-7626244AABB3}" type="pres">
      <dgm:prSet presAssocID="{DABE7A2B-8693-45F7-9B4D-3E76AD451BEA}" presName="Child1" presStyleLbl="node1" presStyleIdx="0" presStyleCnt="6">
        <dgm:presLayoutVars>
          <dgm:chMax val="0"/>
          <dgm:chPref val="0"/>
          <dgm:bulletEnabled val="1"/>
        </dgm:presLayoutVars>
      </dgm:prSet>
      <dgm:spPr/>
      <dgm:t>
        <a:bodyPr/>
        <a:lstStyle/>
        <a:p>
          <a:endParaRPr lang="en-US"/>
        </a:p>
      </dgm:t>
    </dgm:pt>
    <dgm:pt modelId="{B193F5D0-5667-45A7-8F64-F0BD44E4E95C}" type="pres">
      <dgm:prSet presAssocID="{43A7893D-FAC9-4BC7-A050-9BFB89FD6EAD}" presName="Accent2" presStyleCnt="0"/>
      <dgm:spPr/>
    </dgm:pt>
    <dgm:pt modelId="{02B34782-64F6-43F4-A081-08F568C285CE}" type="pres">
      <dgm:prSet presAssocID="{43A7893D-FAC9-4BC7-A050-9BFB89FD6EAD}" presName="Accent" presStyleLbl="bgShp" presStyleIdx="1" presStyleCnt="6"/>
      <dgm:spPr/>
    </dgm:pt>
    <dgm:pt modelId="{E03118BA-1590-42E5-95C4-0647B731D72C}" type="pres">
      <dgm:prSet presAssocID="{43A7893D-FAC9-4BC7-A050-9BFB89FD6EAD}" presName="Child2" presStyleLbl="node1" presStyleIdx="1" presStyleCnt="6">
        <dgm:presLayoutVars>
          <dgm:chMax val="0"/>
          <dgm:chPref val="0"/>
          <dgm:bulletEnabled val="1"/>
        </dgm:presLayoutVars>
      </dgm:prSet>
      <dgm:spPr/>
      <dgm:t>
        <a:bodyPr/>
        <a:lstStyle/>
        <a:p>
          <a:endParaRPr lang="en-US"/>
        </a:p>
      </dgm:t>
    </dgm:pt>
    <dgm:pt modelId="{8D09B68A-F63C-470D-B80C-827BA1A94448}" type="pres">
      <dgm:prSet presAssocID="{B7830545-F693-41D1-8256-44D805FF9D78}" presName="Accent3" presStyleCnt="0"/>
      <dgm:spPr/>
    </dgm:pt>
    <dgm:pt modelId="{77FA2511-1724-4A0D-AFC6-368F97C51597}" type="pres">
      <dgm:prSet presAssocID="{B7830545-F693-41D1-8256-44D805FF9D78}" presName="Accent" presStyleLbl="bgShp" presStyleIdx="2" presStyleCnt="6"/>
      <dgm:spPr/>
    </dgm:pt>
    <dgm:pt modelId="{8290398C-E835-4F1B-AA9F-8E9D23FBDFBF}" type="pres">
      <dgm:prSet presAssocID="{B7830545-F693-41D1-8256-44D805FF9D78}" presName="Child3" presStyleLbl="node1" presStyleIdx="2" presStyleCnt="6">
        <dgm:presLayoutVars>
          <dgm:chMax val="0"/>
          <dgm:chPref val="0"/>
          <dgm:bulletEnabled val="1"/>
        </dgm:presLayoutVars>
      </dgm:prSet>
      <dgm:spPr/>
      <dgm:t>
        <a:bodyPr/>
        <a:lstStyle/>
        <a:p>
          <a:endParaRPr lang="en-US"/>
        </a:p>
      </dgm:t>
    </dgm:pt>
    <dgm:pt modelId="{791AF1F6-7C02-4D31-8E85-B3F1CB4CCFA3}" type="pres">
      <dgm:prSet presAssocID="{95214CAF-23A7-4A19-97EA-B043C9D1189A}" presName="Accent4" presStyleCnt="0"/>
      <dgm:spPr/>
    </dgm:pt>
    <dgm:pt modelId="{990CD567-F6B2-4BA0-A35A-59A3E48A2DBD}" type="pres">
      <dgm:prSet presAssocID="{95214CAF-23A7-4A19-97EA-B043C9D1189A}" presName="Accent" presStyleLbl="bgShp" presStyleIdx="3" presStyleCnt="6"/>
      <dgm:spPr/>
    </dgm:pt>
    <dgm:pt modelId="{25C209D1-D087-4D06-B2CE-05B4EF86E983}" type="pres">
      <dgm:prSet presAssocID="{95214CAF-23A7-4A19-97EA-B043C9D1189A}" presName="Child4" presStyleLbl="node1" presStyleIdx="3" presStyleCnt="6">
        <dgm:presLayoutVars>
          <dgm:chMax val="0"/>
          <dgm:chPref val="0"/>
          <dgm:bulletEnabled val="1"/>
        </dgm:presLayoutVars>
      </dgm:prSet>
      <dgm:spPr/>
      <dgm:t>
        <a:bodyPr/>
        <a:lstStyle/>
        <a:p>
          <a:endParaRPr lang="en-US"/>
        </a:p>
      </dgm:t>
    </dgm:pt>
    <dgm:pt modelId="{8AECA230-59A9-4474-97DA-B3DA4E1C91BA}" type="pres">
      <dgm:prSet presAssocID="{8B7FF0A2-F3FC-47C3-AB0D-AEBF8852B836}" presName="Accent5" presStyleCnt="0"/>
      <dgm:spPr/>
    </dgm:pt>
    <dgm:pt modelId="{048423ED-F620-4551-94F8-CD034B57A89A}" type="pres">
      <dgm:prSet presAssocID="{8B7FF0A2-F3FC-47C3-AB0D-AEBF8852B836}" presName="Accent" presStyleLbl="bgShp" presStyleIdx="4" presStyleCnt="6"/>
      <dgm:spPr/>
    </dgm:pt>
    <dgm:pt modelId="{E93933E0-2FC6-495A-BF26-6E6EBF9EE201}" type="pres">
      <dgm:prSet presAssocID="{8B7FF0A2-F3FC-47C3-AB0D-AEBF8852B836}" presName="Child5" presStyleLbl="node1" presStyleIdx="4" presStyleCnt="6">
        <dgm:presLayoutVars>
          <dgm:chMax val="0"/>
          <dgm:chPref val="0"/>
          <dgm:bulletEnabled val="1"/>
        </dgm:presLayoutVars>
      </dgm:prSet>
      <dgm:spPr/>
      <dgm:t>
        <a:bodyPr/>
        <a:lstStyle/>
        <a:p>
          <a:endParaRPr lang="en-US"/>
        </a:p>
      </dgm:t>
    </dgm:pt>
    <dgm:pt modelId="{BC999B13-5234-4B28-8E13-1DDB0BD4943F}" type="pres">
      <dgm:prSet presAssocID="{75FAB8B4-44C4-4D85-B27E-FF9591DFA7A4}" presName="Accent6" presStyleCnt="0"/>
      <dgm:spPr/>
    </dgm:pt>
    <dgm:pt modelId="{443D8F90-1734-463B-B894-8E71ABB2D93E}" type="pres">
      <dgm:prSet presAssocID="{75FAB8B4-44C4-4D85-B27E-FF9591DFA7A4}" presName="Accent" presStyleLbl="bgShp" presStyleIdx="5" presStyleCnt="6"/>
      <dgm:spPr/>
    </dgm:pt>
    <dgm:pt modelId="{CEBD53F9-FCBE-433F-8871-00CEF17832B5}" type="pres">
      <dgm:prSet presAssocID="{75FAB8B4-44C4-4D85-B27E-FF9591DFA7A4}" presName="Child6" presStyleLbl="node1" presStyleIdx="5" presStyleCnt="6">
        <dgm:presLayoutVars>
          <dgm:chMax val="0"/>
          <dgm:chPref val="0"/>
          <dgm:bulletEnabled val="1"/>
        </dgm:presLayoutVars>
      </dgm:prSet>
      <dgm:spPr/>
      <dgm:t>
        <a:bodyPr/>
        <a:lstStyle/>
        <a:p>
          <a:endParaRPr lang="en-US"/>
        </a:p>
      </dgm:t>
    </dgm:pt>
  </dgm:ptLst>
  <dgm:cxnLst>
    <dgm:cxn modelId="{D671367A-006E-4329-A44D-966879311B2F}" srcId="{6C3E4448-F7F4-445B-B1A4-1A8A384048EF}" destId="{B7830545-F693-41D1-8256-44D805FF9D78}" srcOrd="2" destOrd="0" parTransId="{355374DE-FDA0-4598-A24D-D31A854EAAF5}" sibTransId="{43A03AF7-2164-4BFA-AC73-2B4469916508}"/>
    <dgm:cxn modelId="{1768A9CA-F209-4EF5-9D5A-CC2EF89B9B6D}" type="presOf" srcId="{DABE7A2B-8693-45F7-9B4D-3E76AD451BEA}" destId="{169F4488-F49C-483D-95C2-7626244AABB3}" srcOrd="0" destOrd="0" presId="urn:microsoft.com/office/officeart/2011/layout/HexagonRadial"/>
    <dgm:cxn modelId="{0A73E381-6EE8-4617-8D94-3AA92B8BE3C0}" type="presOf" srcId="{B7830545-F693-41D1-8256-44D805FF9D78}" destId="{8290398C-E835-4F1B-AA9F-8E9D23FBDFBF}" srcOrd="0" destOrd="0" presId="urn:microsoft.com/office/officeart/2011/layout/HexagonRadial"/>
    <dgm:cxn modelId="{C4AB1A04-057E-43C1-8DB7-90DFEDC5FD26}" srcId="{D503A77F-7389-4E8E-B731-293322C1EF68}" destId="{6C3E4448-F7F4-445B-B1A4-1A8A384048EF}" srcOrd="0" destOrd="0" parTransId="{6664F7F2-C574-48F2-9C6A-74E02C945746}" sibTransId="{4685FF6A-D8D2-4D82-B0F9-FDE80B7D4DEC}"/>
    <dgm:cxn modelId="{C4D6E112-8F94-4D8A-84E2-901460C8FE02}" srcId="{6C3E4448-F7F4-445B-B1A4-1A8A384048EF}" destId="{DABE7A2B-8693-45F7-9B4D-3E76AD451BEA}" srcOrd="0" destOrd="0" parTransId="{6FA0BB9A-264D-4649-9D67-9D63E39C0FD2}" sibTransId="{F2395847-EF40-42CB-A3AC-A271EF3E8768}"/>
    <dgm:cxn modelId="{B133EB6D-9645-40DE-A60D-6EE3A54DB83D}" type="presOf" srcId="{6C3E4448-F7F4-445B-B1A4-1A8A384048EF}" destId="{9C034D1D-B423-4D51-AF98-1D12C3FFF621}" srcOrd="0" destOrd="0" presId="urn:microsoft.com/office/officeart/2011/layout/HexagonRadial"/>
    <dgm:cxn modelId="{4F595045-FFE1-45CA-BE2D-6D57A884E2DB}" type="presOf" srcId="{75FAB8B4-44C4-4D85-B27E-FF9591DFA7A4}" destId="{CEBD53F9-FCBE-433F-8871-00CEF17832B5}" srcOrd="0" destOrd="0" presId="urn:microsoft.com/office/officeart/2011/layout/HexagonRadial"/>
    <dgm:cxn modelId="{16CF0F82-A1AD-4332-9BAF-F80838B093DC}" type="presOf" srcId="{D503A77F-7389-4E8E-B731-293322C1EF68}" destId="{61AFCE02-7D21-4608-B956-3352D8FEF69A}" srcOrd="0" destOrd="0" presId="urn:microsoft.com/office/officeart/2011/layout/HexagonRadial"/>
    <dgm:cxn modelId="{E53D3350-C72B-4954-89E5-6E93C643E800}" type="presOf" srcId="{8B7FF0A2-F3FC-47C3-AB0D-AEBF8852B836}" destId="{E93933E0-2FC6-495A-BF26-6E6EBF9EE201}" srcOrd="0" destOrd="0" presId="urn:microsoft.com/office/officeart/2011/layout/HexagonRadial"/>
    <dgm:cxn modelId="{4B74E740-3FC4-47A2-8579-363788115906}" srcId="{6C3E4448-F7F4-445B-B1A4-1A8A384048EF}" destId="{95214CAF-23A7-4A19-97EA-B043C9D1189A}" srcOrd="3" destOrd="0" parTransId="{4F94BC7F-BE9C-4EB6-B7D4-F72C13D383D8}" sibTransId="{8A5C8815-A4E3-4C47-A87F-1023D5F36072}"/>
    <dgm:cxn modelId="{E8035BCD-14BC-40F7-85F0-5D1630D81468}" srcId="{6C3E4448-F7F4-445B-B1A4-1A8A384048EF}" destId="{75FAB8B4-44C4-4D85-B27E-FF9591DFA7A4}" srcOrd="5" destOrd="0" parTransId="{AE6BA250-90B5-451A-A03F-C9EAF87A0FE9}" sibTransId="{D3B69D72-B989-4947-B873-80B6C83D802E}"/>
    <dgm:cxn modelId="{80212D73-78BE-4A63-A03F-AC50D4301C16}" srcId="{6C3E4448-F7F4-445B-B1A4-1A8A384048EF}" destId="{43A7893D-FAC9-4BC7-A050-9BFB89FD6EAD}" srcOrd="1" destOrd="0" parTransId="{171C2711-86ED-426A-9804-961CA3A61B84}" sibTransId="{41B4BA37-933F-4172-8992-875493BDD778}"/>
    <dgm:cxn modelId="{91EA6A81-7193-4EAE-8C78-DBE8FFC48125}" srcId="{6C3E4448-F7F4-445B-B1A4-1A8A384048EF}" destId="{8B7FF0A2-F3FC-47C3-AB0D-AEBF8852B836}" srcOrd="4" destOrd="0" parTransId="{02F28B94-647F-41F8-9733-02BA831B7E7C}" sibTransId="{3F3007B3-ADA6-4A47-A787-5E86976AF3EB}"/>
    <dgm:cxn modelId="{1FE165E8-A89B-4152-912B-2CF576FB6D5C}" type="presOf" srcId="{43A7893D-FAC9-4BC7-A050-9BFB89FD6EAD}" destId="{E03118BA-1590-42E5-95C4-0647B731D72C}" srcOrd="0" destOrd="0" presId="urn:microsoft.com/office/officeart/2011/layout/HexagonRadial"/>
    <dgm:cxn modelId="{DFF74570-F182-4E35-A908-4B486CE4F282}" type="presOf" srcId="{95214CAF-23A7-4A19-97EA-B043C9D1189A}" destId="{25C209D1-D087-4D06-B2CE-05B4EF86E983}" srcOrd="0" destOrd="0" presId="urn:microsoft.com/office/officeart/2011/layout/HexagonRadial"/>
    <dgm:cxn modelId="{2C03A838-E25D-44EB-8AED-CEF06F45AF61}" type="presParOf" srcId="{61AFCE02-7D21-4608-B956-3352D8FEF69A}" destId="{9C034D1D-B423-4D51-AF98-1D12C3FFF621}" srcOrd="0" destOrd="0" presId="urn:microsoft.com/office/officeart/2011/layout/HexagonRadial"/>
    <dgm:cxn modelId="{440595B7-84EF-488B-B06E-4B8AC5345285}" type="presParOf" srcId="{61AFCE02-7D21-4608-B956-3352D8FEF69A}" destId="{D89F0955-1490-41F6-B5DA-C478BCB8F420}" srcOrd="1" destOrd="0" presId="urn:microsoft.com/office/officeart/2011/layout/HexagonRadial"/>
    <dgm:cxn modelId="{7A67BAC9-2A06-4DE5-84D7-69285B210A54}" type="presParOf" srcId="{D89F0955-1490-41F6-B5DA-C478BCB8F420}" destId="{B53CDBEC-43E0-489F-B7C4-D436DFA29354}" srcOrd="0" destOrd="0" presId="urn:microsoft.com/office/officeart/2011/layout/HexagonRadial"/>
    <dgm:cxn modelId="{FE427C7D-49BE-4B4B-B41F-4AE55544B779}" type="presParOf" srcId="{61AFCE02-7D21-4608-B956-3352D8FEF69A}" destId="{169F4488-F49C-483D-95C2-7626244AABB3}" srcOrd="2" destOrd="0" presId="urn:microsoft.com/office/officeart/2011/layout/HexagonRadial"/>
    <dgm:cxn modelId="{86FE81CD-AA81-415E-B691-E2124F6B5621}" type="presParOf" srcId="{61AFCE02-7D21-4608-B956-3352D8FEF69A}" destId="{B193F5D0-5667-45A7-8F64-F0BD44E4E95C}" srcOrd="3" destOrd="0" presId="urn:microsoft.com/office/officeart/2011/layout/HexagonRadial"/>
    <dgm:cxn modelId="{AACF8C99-5A2A-437E-A8ED-1AA9E4D2EF5C}" type="presParOf" srcId="{B193F5D0-5667-45A7-8F64-F0BD44E4E95C}" destId="{02B34782-64F6-43F4-A081-08F568C285CE}" srcOrd="0" destOrd="0" presId="urn:microsoft.com/office/officeart/2011/layout/HexagonRadial"/>
    <dgm:cxn modelId="{C6184888-519B-4FCB-BEC8-A26A85AA04D7}" type="presParOf" srcId="{61AFCE02-7D21-4608-B956-3352D8FEF69A}" destId="{E03118BA-1590-42E5-95C4-0647B731D72C}" srcOrd="4" destOrd="0" presId="urn:microsoft.com/office/officeart/2011/layout/HexagonRadial"/>
    <dgm:cxn modelId="{C22577EF-6FE4-496D-9602-5C6ED8F4D5F3}" type="presParOf" srcId="{61AFCE02-7D21-4608-B956-3352D8FEF69A}" destId="{8D09B68A-F63C-470D-B80C-827BA1A94448}" srcOrd="5" destOrd="0" presId="urn:microsoft.com/office/officeart/2011/layout/HexagonRadial"/>
    <dgm:cxn modelId="{AE18EEFC-9F23-4316-9C03-97D1AD3933A0}" type="presParOf" srcId="{8D09B68A-F63C-470D-B80C-827BA1A94448}" destId="{77FA2511-1724-4A0D-AFC6-368F97C51597}" srcOrd="0" destOrd="0" presId="urn:microsoft.com/office/officeart/2011/layout/HexagonRadial"/>
    <dgm:cxn modelId="{3D8236E7-DE23-428E-A19C-991047ED52F6}" type="presParOf" srcId="{61AFCE02-7D21-4608-B956-3352D8FEF69A}" destId="{8290398C-E835-4F1B-AA9F-8E9D23FBDFBF}" srcOrd="6" destOrd="0" presId="urn:microsoft.com/office/officeart/2011/layout/HexagonRadial"/>
    <dgm:cxn modelId="{F43DA083-5E0C-4595-91B7-33D4E50B55D2}" type="presParOf" srcId="{61AFCE02-7D21-4608-B956-3352D8FEF69A}" destId="{791AF1F6-7C02-4D31-8E85-B3F1CB4CCFA3}" srcOrd="7" destOrd="0" presId="urn:microsoft.com/office/officeart/2011/layout/HexagonRadial"/>
    <dgm:cxn modelId="{3FDEB2F6-95B9-4D53-A90A-DA51C57B0A01}" type="presParOf" srcId="{791AF1F6-7C02-4D31-8E85-B3F1CB4CCFA3}" destId="{990CD567-F6B2-4BA0-A35A-59A3E48A2DBD}" srcOrd="0" destOrd="0" presId="urn:microsoft.com/office/officeart/2011/layout/HexagonRadial"/>
    <dgm:cxn modelId="{11456496-CD1B-4B46-9E7B-C200C2397D57}" type="presParOf" srcId="{61AFCE02-7D21-4608-B956-3352D8FEF69A}" destId="{25C209D1-D087-4D06-B2CE-05B4EF86E983}" srcOrd="8" destOrd="0" presId="urn:microsoft.com/office/officeart/2011/layout/HexagonRadial"/>
    <dgm:cxn modelId="{929F78EF-46BD-4447-B090-9566E3CD092F}" type="presParOf" srcId="{61AFCE02-7D21-4608-B956-3352D8FEF69A}" destId="{8AECA230-59A9-4474-97DA-B3DA4E1C91BA}" srcOrd="9" destOrd="0" presId="urn:microsoft.com/office/officeart/2011/layout/HexagonRadial"/>
    <dgm:cxn modelId="{864EAFCE-A109-46B9-AC3E-6B180A5816E7}" type="presParOf" srcId="{8AECA230-59A9-4474-97DA-B3DA4E1C91BA}" destId="{048423ED-F620-4551-94F8-CD034B57A89A}" srcOrd="0" destOrd="0" presId="urn:microsoft.com/office/officeart/2011/layout/HexagonRadial"/>
    <dgm:cxn modelId="{9BEE7C53-1219-4250-B0E4-45A325095A53}" type="presParOf" srcId="{61AFCE02-7D21-4608-B956-3352D8FEF69A}" destId="{E93933E0-2FC6-495A-BF26-6E6EBF9EE201}" srcOrd="10" destOrd="0" presId="urn:microsoft.com/office/officeart/2011/layout/HexagonRadial"/>
    <dgm:cxn modelId="{FEB7B507-F99F-436C-B972-CEAB93419974}" type="presParOf" srcId="{61AFCE02-7D21-4608-B956-3352D8FEF69A}" destId="{BC999B13-5234-4B28-8E13-1DDB0BD4943F}" srcOrd="11" destOrd="0" presId="urn:microsoft.com/office/officeart/2011/layout/HexagonRadial"/>
    <dgm:cxn modelId="{7CE95115-BFC0-43A8-B028-E5EFE5FEA8A9}" type="presParOf" srcId="{BC999B13-5234-4B28-8E13-1DDB0BD4943F}" destId="{443D8F90-1734-463B-B894-8E71ABB2D93E}" srcOrd="0" destOrd="0" presId="urn:microsoft.com/office/officeart/2011/layout/HexagonRadial"/>
    <dgm:cxn modelId="{BE61C09D-A1E9-432C-8591-A7A67AB07339}" type="presParOf" srcId="{61AFCE02-7D21-4608-B956-3352D8FEF69A}" destId="{CEBD53F9-FCBE-433F-8871-00CEF17832B5}" srcOrd="12" destOrd="0" presId="urn:microsoft.com/office/officeart/2011/layout/HexagonRadial"/>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034D1D-B423-4D51-AF98-1D12C3FFF621}">
      <dsp:nvSpPr>
        <dsp:cNvPr id="0" name=""/>
        <dsp:cNvSpPr/>
      </dsp:nvSpPr>
      <dsp:spPr>
        <a:xfrm>
          <a:off x="1235413" y="817355"/>
          <a:ext cx="1038894" cy="898685"/>
        </a:xfrm>
        <a:prstGeom prst="hexagon">
          <a:avLst>
            <a:gd name="adj" fmla="val 28570"/>
            <a:gd name="vf" fmla="val 115470"/>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Stewardship: Lawful, Fair &amp; Responsible Use of Data</a:t>
          </a:r>
        </a:p>
      </dsp:txBody>
      <dsp:txXfrm>
        <a:off x="1407572" y="966280"/>
        <a:ext cx="694576" cy="600835"/>
      </dsp:txXfrm>
    </dsp:sp>
    <dsp:sp modelId="{02B34782-64F6-43F4-A081-08F568C285CE}">
      <dsp:nvSpPr>
        <dsp:cNvPr id="0" name=""/>
        <dsp:cNvSpPr/>
      </dsp:nvSpPr>
      <dsp:spPr>
        <a:xfrm>
          <a:off x="1885960" y="387395"/>
          <a:ext cx="391971" cy="337735"/>
        </a:xfrm>
        <a:prstGeom prst="hexagon">
          <a:avLst>
            <a:gd name="adj" fmla="val 28900"/>
            <a:gd name="vf" fmla="val 11547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69F4488-F49C-483D-95C2-7626244AABB3}">
      <dsp:nvSpPr>
        <dsp:cNvPr id="0" name=""/>
        <dsp:cNvSpPr/>
      </dsp:nvSpPr>
      <dsp:spPr>
        <a:xfrm>
          <a:off x="1331110" y="0"/>
          <a:ext cx="851366" cy="736532"/>
        </a:xfrm>
        <a:prstGeom prst="hexagon">
          <a:avLst>
            <a:gd name="adj" fmla="val 28570"/>
            <a:gd name="vf" fmla="val 115470"/>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Minimization</a:t>
          </a:r>
        </a:p>
      </dsp:txBody>
      <dsp:txXfrm>
        <a:off x="1472200" y="122059"/>
        <a:ext cx="569186" cy="492414"/>
      </dsp:txXfrm>
    </dsp:sp>
    <dsp:sp modelId="{77FA2511-1724-4A0D-AFC6-368F97C51597}">
      <dsp:nvSpPr>
        <dsp:cNvPr id="0" name=""/>
        <dsp:cNvSpPr/>
      </dsp:nvSpPr>
      <dsp:spPr>
        <a:xfrm>
          <a:off x="2343422" y="1018780"/>
          <a:ext cx="391971" cy="337735"/>
        </a:xfrm>
        <a:prstGeom prst="hexagon">
          <a:avLst>
            <a:gd name="adj" fmla="val 28900"/>
            <a:gd name="vf" fmla="val 11547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03118BA-1590-42E5-95C4-0647B731D72C}">
      <dsp:nvSpPr>
        <dsp:cNvPr id="0" name=""/>
        <dsp:cNvSpPr/>
      </dsp:nvSpPr>
      <dsp:spPr>
        <a:xfrm>
          <a:off x="2111912" y="453016"/>
          <a:ext cx="851366" cy="736532"/>
        </a:xfrm>
        <a:prstGeom prst="hexagon">
          <a:avLst>
            <a:gd name="adj" fmla="val 28570"/>
            <a:gd name="vf" fmla="val 115470"/>
          </a:avLst>
        </a:prstGeom>
        <a:solidFill>
          <a:schemeClr val="accent3">
            <a:hueOff val="542120"/>
            <a:satOff val="20000"/>
            <a:lumOff val="-2941"/>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Diligence</a:t>
          </a:r>
        </a:p>
      </dsp:txBody>
      <dsp:txXfrm>
        <a:off x="2253002" y="575075"/>
        <a:ext cx="569186" cy="492414"/>
      </dsp:txXfrm>
    </dsp:sp>
    <dsp:sp modelId="{990CD567-F6B2-4BA0-A35A-59A3E48A2DBD}">
      <dsp:nvSpPr>
        <dsp:cNvPr id="0" name=""/>
        <dsp:cNvSpPr/>
      </dsp:nvSpPr>
      <dsp:spPr>
        <a:xfrm>
          <a:off x="2025640" y="1731496"/>
          <a:ext cx="391971" cy="337735"/>
        </a:xfrm>
        <a:prstGeom prst="hexagon">
          <a:avLst>
            <a:gd name="adj" fmla="val 28900"/>
            <a:gd name="vf" fmla="val 11547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290398C-E835-4F1B-AA9F-8E9D23FBDFBF}">
      <dsp:nvSpPr>
        <dsp:cNvPr id="0" name=""/>
        <dsp:cNvSpPr/>
      </dsp:nvSpPr>
      <dsp:spPr>
        <a:xfrm>
          <a:off x="2111912" y="1343594"/>
          <a:ext cx="851366" cy="736532"/>
        </a:xfrm>
        <a:prstGeom prst="hexagon">
          <a:avLst>
            <a:gd name="adj" fmla="val 28570"/>
            <a:gd name="vf" fmla="val 115470"/>
          </a:avLst>
        </a:prstGeom>
        <a:solidFill>
          <a:schemeClr val="accent3">
            <a:hueOff val="1084240"/>
            <a:satOff val="40000"/>
            <a:lumOff val="-588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Context Sensitivity</a:t>
          </a:r>
        </a:p>
      </dsp:txBody>
      <dsp:txXfrm>
        <a:off x="2253002" y="1465653"/>
        <a:ext cx="569186" cy="492414"/>
      </dsp:txXfrm>
    </dsp:sp>
    <dsp:sp modelId="{048423ED-F620-4551-94F8-CD034B57A89A}">
      <dsp:nvSpPr>
        <dsp:cNvPr id="0" name=""/>
        <dsp:cNvSpPr/>
      </dsp:nvSpPr>
      <dsp:spPr>
        <a:xfrm>
          <a:off x="1237346" y="1805478"/>
          <a:ext cx="391971" cy="337735"/>
        </a:xfrm>
        <a:prstGeom prst="hexagon">
          <a:avLst>
            <a:gd name="adj" fmla="val 28900"/>
            <a:gd name="vf" fmla="val 11547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5C209D1-D087-4D06-B2CE-05B4EF86E983}">
      <dsp:nvSpPr>
        <dsp:cNvPr id="0" name=""/>
        <dsp:cNvSpPr/>
      </dsp:nvSpPr>
      <dsp:spPr>
        <a:xfrm>
          <a:off x="1331110" y="1797117"/>
          <a:ext cx="851366" cy="736532"/>
        </a:xfrm>
        <a:prstGeom prst="hexagon">
          <a:avLst>
            <a:gd name="adj" fmla="val 28570"/>
            <a:gd name="vf" fmla="val 115470"/>
          </a:avLst>
        </a:prstGeom>
        <a:solidFill>
          <a:schemeClr val="accent3">
            <a:hueOff val="1626359"/>
            <a:satOff val="60000"/>
            <a:lumOff val="-8824"/>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Quality + Accuracy</a:t>
          </a:r>
        </a:p>
      </dsp:txBody>
      <dsp:txXfrm>
        <a:off x="1472200" y="1919176"/>
        <a:ext cx="569186" cy="492414"/>
      </dsp:txXfrm>
    </dsp:sp>
    <dsp:sp modelId="{443D8F90-1734-463B-B894-8E71ABB2D93E}">
      <dsp:nvSpPr>
        <dsp:cNvPr id="0" name=""/>
        <dsp:cNvSpPr/>
      </dsp:nvSpPr>
      <dsp:spPr>
        <a:xfrm>
          <a:off x="772393" y="1174346"/>
          <a:ext cx="391971" cy="337735"/>
        </a:xfrm>
        <a:prstGeom prst="hexagon">
          <a:avLst>
            <a:gd name="adj" fmla="val 28900"/>
            <a:gd name="vf" fmla="val 11547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93933E0-2FC6-495A-BF26-6E6EBF9EE201}">
      <dsp:nvSpPr>
        <dsp:cNvPr id="0" name=""/>
        <dsp:cNvSpPr/>
      </dsp:nvSpPr>
      <dsp:spPr>
        <a:xfrm>
          <a:off x="546683" y="1344101"/>
          <a:ext cx="851366" cy="736532"/>
        </a:xfrm>
        <a:prstGeom prst="hexagon">
          <a:avLst>
            <a:gd name="adj" fmla="val 28570"/>
            <a:gd name="vf" fmla="val 115470"/>
          </a:avLst>
        </a:prstGeom>
        <a:solidFill>
          <a:schemeClr val="accent3">
            <a:hueOff val="2168479"/>
            <a:satOff val="80000"/>
            <a:lumOff val="-1176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Open &amp; Accountable</a:t>
          </a:r>
        </a:p>
      </dsp:txBody>
      <dsp:txXfrm>
        <a:off x="687773" y="1466160"/>
        <a:ext cx="569186" cy="492414"/>
      </dsp:txXfrm>
    </dsp:sp>
    <dsp:sp modelId="{CEBD53F9-FCBE-433F-8871-00CEF17832B5}">
      <dsp:nvSpPr>
        <dsp:cNvPr id="0" name=""/>
        <dsp:cNvSpPr/>
      </dsp:nvSpPr>
      <dsp:spPr>
        <a:xfrm>
          <a:off x="546683" y="452003"/>
          <a:ext cx="851366" cy="736532"/>
        </a:xfrm>
        <a:prstGeom prst="hexagon">
          <a:avLst>
            <a:gd name="adj" fmla="val 28570"/>
            <a:gd name="vf" fmla="val 115470"/>
          </a:avLst>
        </a:prstGeom>
        <a:solidFill>
          <a:schemeClr val="accent3">
            <a:hueOff val="2710599"/>
            <a:satOff val="100000"/>
            <a:lumOff val="-14706"/>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Security</a:t>
          </a:r>
        </a:p>
      </dsp:txBody>
      <dsp:txXfrm>
        <a:off x="687773" y="574062"/>
        <a:ext cx="569186" cy="492414"/>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_dlc_DocId xmlns="fd6b8e64-5135-495f-993d-3801340bb78a">ARADJU2PS7MR-31-620</_dlc_DocId>
    <_dlc_DocIdUrl xmlns="fd6b8e64-5135-495f-993d-3801340bb78a">
      <Url>https://watech.sp.wa.gov/ocio/OD/_layouts/15/DocIdRedir.aspx?ID=ARADJU2PS7MR-31-620</Url>
      <Description>ARADJU2PS7MR-31-620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7C34D941327144A8F92B6C734A5B25" ma:contentTypeVersion="6" ma:contentTypeDescription="Create a new document." ma:contentTypeScope="" ma:versionID="9ec7211138fc6604764d624ded54b5af">
  <xsd:schema xmlns:xsd="http://www.w3.org/2001/XMLSchema" xmlns:xs="http://www.w3.org/2001/XMLSchema" xmlns:p="http://schemas.microsoft.com/office/2006/metadata/properties" xmlns:ns1="http://schemas.microsoft.com/sharepoint/v3" xmlns:ns2="fd6b8e64-5135-495f-993d-3801340bb78a" xmlns:ns3="http://schemas.microsoft.com/sharepoint/v4" targetNamespace="http://schemas.microsoft.com/office/2006/metadata/properties" ma:root="true" ma:fieldsID="66eee4d15a3a3f624294551cb0b97188" ns1:_="" ns2:_="" ns3:_="">
    <xsd:import namespace="http://schemas.microsoft.com/sharepoint/v3"/>
    <xsd:import namespace="fd6b8e64-5135-495f-993d-3801340bb78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hidden="true" ma:internalName="EmailSender">
      <xsd:simpleType>
        <xsd:restriction base="dms:Note">
          <xsd:maxLength value="255"/>
        </xsd:restriction>
      </xsd:simpleType>
    </xsd:element>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6b8e64-5135-495f-993d-3801340bb7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628CB-BF99-4BB2-AA4A-515CDBDF1917}">
  <ds:schemaRefs>
    <ds:schemaRef ds:uri="http://schemas.microsoft.com/sharepoint/events"/>
  </ds:schemaRefs>
</ds:datastoreItem>
</file>

<file path=customXml/itemProps2.xml><?xml version="1.0" encoding="utf-8"?>
<ds:datastoreItem xmlns:ds="http://schemas.openxmlformats.org/officeDocument/2006/customXml" ds:itemID="{B15D96E5-1C24-4458-BDFC-0634E9A27A9E}">
  <ds:schemaRefs>
    <ds:schemaRef ds:uri="http://schemas.microsoft.com/sharepoint/v3/contenttype/forms"/>
  </ds:schemaRefs>
</ds:datastoreItem>
</file>

<file path=customXml/itemProps3.xml><?xml version="1.0" encoding="utf-8"?>
<ds:datastoreItem xmlns:ds="http://schemas.openxmlformats.org/officeDocument/2006/customXml" ds:itemID="{3F99CB72-6A5D-476B-861A-7BCA77B10364}">
  <ds:schemaRefs>
    <ds:schemaRef ds:uri="http://purl.org/dc/dcmitype/"/>
    <ds:schemaRef ds:uri="http://schemas.microsoft.com/office/infopath/2007/PartnerControls"/>
    <ds:schemaRef ds:uri="http://schemas.microsoft.com/sharepoint/v3"/>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sharepoint/v4"/>
    <ds:schemaRef ds:uri="fd6b8e64-5135-495f-993d-3801340bb78a"/>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6491C66-891C-45C7-87F4-8B30E9DBA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6b8e64-5135-495f-993d-3801340bb78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007FF5-0B97-4850-90CC-CA10D6F9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Will (WaTech)</dc:creator>
  <cp:keywords/>
  <dc:description/>
  <cp:lastModifiedBy>Saunders, Will (OCIO)</cp:lastModifiedBy>
  <cp:revision>14</cp:revision>
  <cp:lastPrinted>2019-05-20T17:08:00Z</cp:lastPrinted>
  <dcterms:created xsi:type="dcterms:W3CDTF">2018-11-26T21:39:00Z</dcterms:created>
  <dcterms:modified xsi:type="dcterms:W3CDTF">2019-10-28T16:07:00Z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0x0101004B7C34D941327144A8F92B6C734A5B25</vt:lpwstr>
  </property>
  <property fmtid="{D5CDD505-2E9C-101B-9397-08002B2CF9AE}" pid="3" name="_dlc_DocIdItemGuid">
    <vt:lpwstr>69f9fead-2a46-47b3-a0fe-cc873735cbc5</vt:lpwstr>
  </property>
</Properties>
</file>