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ABD1" w14:textId="56B7BCA5" w:rsidR="00B20A31" w:rsidRPr="00E0473C" w:rsidRDefault="00114D25" w:rsidP="00E0473C">
      <w:pPr>
        <w:pStyle w:val="Heading1"/>
        <w:rPr>
          <w:sz w:val="40"/>
          <w:szCs w:val="40"/>
        </w:rPr>
      </w:pPr>
      <w:r w:rsidRPr="00E0473C">
        <w:rPr>
          <w:sz w:val="40"/>
          <w:szCs w:val="40"/>
        </w:rPr>
        <w:t xml:space="preserve">Policy 188 – Accessibility </w:t>
      </w:r>
    </w:p>
    <w:p w14:paraId="5FF8485E" w14:textId="77777777" w:rsidR="00B20A31" w:rsidRDefault="00114D25">
      <w:pPr>
        <w:spacing w:after="42" w:line="259" w:lineRule="auto"/>
        <w:ind w:left="0" w:firstLine="0"/>
      </w:pPr>
      <w:r>
        <w:rPr>
          <w:sz w:val="26"/>
        </w:rPr>
        <w:t xml:space="preserve"> </w:t>
      </w:r>
    </w:p>
    <w:p w14:paraId="52FD1703" w14:textId="77777777" w:rsidR="00B20A31" w:rsidRPr="00E0473C" w:rsidRDefault="00114D25" w:rsidP="00E0473C">
      <w:pPr>
        <w:spacing w:after="292" w:line="259" w:lineRule="auto"/>
        <w:ind w:left="-5"/>
        <w:rPr>
          <w:bCs/>
          <w:sz w:val="40"/>
          <w:szCs w:val="40"/>
        </w:rPr>
      </w:pPr>
      <w:r w:rsidRPr="00E0473C">
        <w:rPr>
          <w:bCs/>
          <w:sz w:val="40"/>
          <w:szCs w:val="40"/>
        </w:rPr>
        <w:t>P</w:t>
      </w:r>
      <w:r w:rsidR="00E85029" w:rsidRPr="00E0473C">
        <w:rPr>
          <w:bCs/>
          <w:sz w:val="40"/>
          <w:szCs w:val="40"/>
        </w:rPr>
        <w:t>URPOSE</w:t>
      </w:r>
      <w:r w:rsidRPr="00E0473C">
        <w:rPr>
          <w:bCs/>
          <w:sz w:val="40"/>
          <w:szCs w:val="40"/>
        </w:rPr>
        <w:t xml:space="preserve"> </w:t>
      </w:r>
    </w:p>
    <w:p w14:paraId="5268B843" w14:textId="77777777" w:rsidR="00B20A31" w:rsidRPr="00E0473C" w:rsidRDefault="00114D25">
      <w:pPr>
        <w:spacing w:after="252"/>
        <w:ind w:left="-5"/>
        <w:rPr>
          <w:rFonts w:ascii="Arial" w:hAnsi="Arial" w:cs="Arial"/>
          <w:sz w:val="24"/>
          <w:szCs w:val="24"/>
        </w:rPr>
      </w:pPr>
      <w:r w:rsidRPr="00E0473C">
        <w:rPr>
          <w:rFonts w:ascii="Arial" w:hAnsi="Arial" w:cs="Arial"/>
          <w:sz w:val="24"/>
          <w:szCs w:val="24"/>
        </w:rPr>
        <w:t xml:space="preserve">This policy establishes the expectation for state agencies that people with disabilities have access to and use of information and data and be provided access to the same services and content that is available to persons without disabilities unless providing direct access is not possible due to technical or legal limitations. </w:t>
      </w:r>
    </w:p>
    <w:p w14:paraId="1671CAF1" w14:textId="77777777" w:rsidR="00B20A31" w:rsidRPr="00E0473C" w:rsidRDefault="00114D25">
      <w:pPr>
        <w:spacing w:after="267"/>
        <w:ind w:left="-5"/>
        <w:rPr>
          <w:rFonts w:ascii="Arial" w:hAnsi="Arial" w:cs="Arial"/>
          <w:sz w:val="24"/>
          <w:szCs w:val="24"/>
        </w:rPr>
      </w:pPr>
      <w:r w:rsidRPr="00E0473C">
        <w:rPr>
          <w:rFonts w:ascii="Arial" w:hAnsi="Arial" w:cs="Arial"/>
          <w:sz w:val="24"/>
          <w:szCs w:val="24"/>
        </w:rPr>
        <w:t xml:space="preserve">The State of Washington is committed to providing access to information technology to the public and Washington State employees, including individuals with disabilities. Information Technology should be procured, developed, maintained, and utilized so that it is accessible to individuals with disabilities, unless it creates an </w:t>
      </w:r>
      <w:hyperlink r:id="rId7" w:anchor="undue_burden">
        <w:r w:rsidRPr="00E0473C">
          <w:rPr>
            <w:rFonts w:ascii="Arial" w:hAnsi="Arial" w:cs="Arial"/>
            <w:color w:val="0563C1"/>
            <w:sz w:val="24"/>
            <w:szCs w:val="24"/>
            <w:u w:val="single" w:color="0563C1"/>
          </w:rPr>
          <w:t>undue burden</w:t>
        </w:r>
      </w:hyperlink>
      <w:hyperlink r:id="rId8" w:anchor="undue_burden">
        <w:r w:rsidRPr="00E0473C">
          <w:rPr>
            <w:rFonts w:ascii="Arial" w:hAnsi="Arial" w:cs="Arial"/>
            <w:sz w:val="24"/>
            <w:szCs w:val="24"/>
          </w:rPr>
          <w:t xml:space="preserve"> </w:t>
        </w:r>
      </w:hyperlink>
      <w:r w:rsidRPr="00E0473C">
        <w:rPr>
          <w:rFonts w:ascii="Arial" w:hAnsi="Arial" w:cs="Arial"/>
          <w:sz w:val="24"/>
          <w:szCs w:val="24"/>
        </w:rPr>
        <w:t xml:space="preserve">on the agency. Information Technology, including Web sites, Web-based applications, software systems, and electronically published documents, should provide the substantially similar functionality to individuals with disabilities as it provides to others. </w:t>
      </w:r>
    </w:p>
    <w:p w14:paraId="268348E8" w14:textId="77777777" w:rsidR="00B20A31" w:rsidRPr="00E0473C" w:rsidRDefault="00114D25">
      <w:pPr>
        <w:spacing w:after="278"/>
        <w:ind w:left="-5"/>
        <w:rPr>
          <w:rFonts w:ascii="Arial" w:hAnsi="Arial" w:cs="Arial"/>
          <w:sz w:val="24"/>
          <w:szCs w:val="24"/>
        </w:rPr>
      </w:pPr>
      <w:r w:rsidRPr="00E0473C">
        <w:rPr>
          <w:rFonts w:ascii="Arial" w:hAnsi="Arial" w:cs="Arial"/>
          <w:sz w:val="24"/>
          <w:szCs w:val="24"/>
        </w:rPr>
        <w:t xml:space="preserve">This policy and the associated standard are intended to assist the State of Washington in meeting its obligations under state and federal law to provide reasonable accommodation to employees and provide persons with disabilities an equal opportunity to participate in, and enjoy the benefits of services, programs, or activities conducted by the state. </w:t>
      </w:r>
    </w:p>
    <w:p w14:paraId="1590BF74" w14:textId="77777777" w:rsidR="00B20A31" w:rsidRPr="00E0473C" w:rsidRDefault="00114D25">
      <w:pPr>
        <w:spacing w:after="319"/>
        <w:ind w:left="-5"/>
        <w:rPr>
          <w:rFonts w:ascii="Arial" w:hAnsi="Arial" w:cs="Arial"/>
          <w:sz w:val="24"/>
          <w:szCs w:val="24"/>
        </w:rPr>
      </w:pPr>
      <w:r w:rsidRPr="00E0473C">
        <w:rPr>
          <w:rFonts w:ascii="Arial" w:hAnsi="Arial" w:cs="Arial"/>
          <w:sz w:val="24"/>
          <w:szCs w:val="24"/>
        </w:rPr>
        <w:t xml:space="preserve">Compliance with this policy does not relieve each agency from its responsibility to otherwise comply with state and federal law. </w:t>
      </w:r>
    </w:p>
    <w:p w14:paraId="6D0D9071" w14:textId="77777777" w:rsidR="00B20A31" w:rsidRPr="00E0473C" w:rsidRDefault="00114D25" w:rsidP="00E0473C">
      <w:pPr>
        <w:spacing w:after="292" w:line="259" w:lineRule="auto"/>
        <w:ind w:left="-5"/>
        <w:rPr>
          <w:bCs/>
          <w:sz w:val="40"/>
          <w:szCs w:val="40"/>
        </w:rPr>
      </w:pPr>
      <w:r w:rsidRPr="00E0473C">
        <w:rPr>
          <w:bCs/>
          <w:sz w:val="40"/>
          <w:szCs w:val="40"/>
        </w:rPr>
        <w:t>P</w:t>
      </w:r>
      <w:r w:rsidR="00E85029" w:rsidRPr="00E0473C">
        <w:rPr>
          <w:bCs/>
          <w:sz w:val="40"/>
          <w:szCs w:val="40"/>
        </w:rPr>
        <w:t>OLICY</w:t>
      </w:r>
      <w:r w:rsidRPr="00E0473C">
        <w:rPr>
          <w:bCs/>
          <w:sz w:val="40"/>
          <w:szCs w:val="40"/>
        </w:rPr>
        <w:t xml:space="preserve"> </w:t>
      </w:r>
    </w:p>
    <w:p w14:paraId="3C6B2DF2" w14:textId="77777777" w:rsidR="00B20A31" w:rsidRPr="00E0473C" w:rsidRDefault="00114D25">
      <w:pPr>
        <w:numPr>
          <w:ilvl w:val="0"/>
          <w:numId w:val="1"/>
        </w:numPr>
        <w:spacing w:after="59"/>
        <w:ind w:hanging="360"/>
        <w:rPr>
          <w:rFonts w:ascii="Arial" w:hAnsi="Arial" w:cs="Arial"/>
          <w:sz w:val="24"/>
          <w:szCs w:val="24"/>
        </w:rPr>
      </w:pPr>
      <w:r w:rsidRPr="00E0473C">
        <w:rPr>
          <w:rFonts w:ascii="Arial" w:hAnsi="Arial" w:cs="Arial"/>
          <w:sz w:val="24"/>
          <w:szCs w:val="24"/>
        </w:rPr>
        <w:t xml:space="preserve">All </w:t>
      </w:r>
      <w:hyperlink r:id="rId9" w:anchor="covTech">
        <w:r w:rsidRPr="00E0473C">
          <w:rPr>
            <w:rFonts w:ascii="Arial" w:hAnsi="Arial" w:cs="Arial"/>
            <w:color w:val="0563C1"/>
            <w:sz w:val="24"/>
            <w:szCs w:val="24"/>
            <w:u w:val="single" w:color="0563C1"/>
          </w:rPr>
          <w:t>covered technology</w:t>
        </w:r>
      </w:hyperlink>
      <w:hyperlink r:id="rId10" w:anchor="covTech">
        <w:r w:rsidRPr="00E0473C">
          <w:rPr>
            <w:rFonts w:ascii="Arial" w:hAnsi="Arial" w:cs="Arial"/>
            <w:sz w:val="24"/>
            <w:szCs w:val="24"/>
          </w:rPr>
          <w:t xml:space="preserve"> </w:t>
        </w:r>
      </w:hyperlink>
      <w:r w:rsidRPr="00E0473C">
        <w:rPr>
          <w:rFonts w:ascii="Arial" w:hAnsi="Arial" w:cs="Arial"/>
          <w:sz w:val="24"/>
          <w:szCs w:val="24"/>
        </w:rPr>
        <w:t>must be accessible to and usable by individuals with disabilities, either directly or by supporting the use of assistive technology.  Standard 188.</w:t>
      </w:r>
      <w:r w:rsidR="008C67F9" w:rsidRPr="00E0473C">
        <w:rPr>
          <w:rFonts w:ascii="Arial" w:hAnsi="Arial" w:cs="Arial"/>
          <w:sz w:val="24"/>
          <w:szCs w:val="24"/>
        </w:rPr>
        <w:t>1</w:t>
      </w:r>
      <w:r w:rsidRPr="00E0473C">
        <w:rPr>
          <w:rFonts w:ascii="Arial" w:hAnsi="Arial" w:cs="Arial"/>
          <w:sz w:val="24"/>
          <w:szCs w:val="24"/>
        </w:rPr>
        <w:t>0 - Minimum Accessibility Standard outlines the minimum levels for compliance. This includes all covered technology</w:t>
      </w:r>
      <w:r w:rsidRPr="00E0473C">
        <w:rPr>
          <w:rFonts w:ascii="Arial" w:hAnsi="Arial" w:cs="Arial"/>
          <w:color w:val="333333"/>
          <w:sz w:val="24"/>
          <w:szCs w:val="24"/>
        </w:rPr>
        <w:t xml:space="preserve"> </w:t>
      </w:r>
      <w:r w:rsidRPr="00E0473C">
        <w:rPr>
          <w:rFonts w:ascii="Arial" w:hAnsi="Arial" w:cs="Arial"/>
          <w:sz w:val="24"/>
          <w:szCs w:val="24"/>
        </w:rPr>
        <w:t xml:space="preserve">acquired, procured, developed or substantially modified or substantially enhanced, including software available at no cost. </w:t>
      </w:r>
    </w:p>
    <w:p w14:paraId="76CE7028" w14:textId="77777777" w:rsidR="00B20A31" w:rsidRPr="00E0473C" w:rsidRDefault="00114D25">
      <w:pPr>
        <w:numPr>
          <w:ilvl w:val="0"/>
          <w:numId w:val="1"/>
        </w:numPr>
        <w:ind w:hanging="360"/>
        <w:rPr>
          <w:rFonts w:ascii="Arial" w:hAnsi="Arial" w:cs="Arial"/>
          <w:sz w:val="24"/>
          <w:szCs w:val="24"/>
        </w:rPr>
      </w:pPr>
      <w:r w:rsidRPr="00E0473C">
        <w:rPr>
          <w:rFonts w:ascii="Arial" w:hAnsi="Arial" w:cs="Arial"/>
          <w:sz w:val="24"/>
          <w:szCs w:val="24"/>
        </w:rPr>
        <w:t xml:space="preserve">Where a </w:t>
      </w:r>
      <w:hyperlink r:id="rId11" w:anchor="CovTech">
        <w:r w:rsidRPr="00E0473C">
          <w:rPr>
            <w:rFonts w:ascii="Arial" w:hAnsi="Arial" w:cs="Arial"/>
            <w:color w:val="0563C1"/>
            <w:sz w:val="24"/>
            <w:szCs w:val="24"/>
            <w:u w:val="single" w:color="0563C1"/>
          </w:rPr>
          <w:t>covered technology</w:t>
        </w:r>
      </w:hyperlink>
      <w:hyperlink r:id="rId12" w:anchor="CovTech">
        <w:r w:rsidRPr="00E0473C">
          <w:rPr>
            <w:rFonts w:ascii="Arial" w:hAnsi="Arial" w:cs="Arial"/>
            <w:sz w:val="24"/>
            <w:szCs w:val="24"/>
          </w:rPr>
          <w:t xml:space="preserve"> </w:t>
        </w:r>
      </w:hyperlink>
      <w:r w:rsidRPr="00E0473C">
        <w:rPr>
          <w:rFonts w:ascii="Arial" w:hAnsi="Arial" w:cs="Arial"/>
          <w:sz w:val="24"/>
          <w:szCs w:val="24"/>
        </w:rPr>
        <w:t xml:space="preserve">is not able to be brought into compliance, the system or content owner is responsible to provide individuals with disabilities </w:t>
      </w:r>
      <w:hyperlink r:id="rId13" w:anchor="Equiv_Access">
        <w:r w:rsidRPr="00E0473C">
          <w:rPr>
            <w:rFonts w:ascii="Arial" w:hAnsi="Arial" w:cs="Arial"/>
            <w:color w:val="0563C1"/>
            <w:sz w:val="24"/>
            <w:szCs w:val="24"/>
            <w:u w:val="single" w:color="0563C1"/>
          </w:rPr>
          <w:t>equivalent</w:t>
        </w:r>
      </w:hyperlink>
      <w:hyperlink r:id="rId14" w:anchor="Equiv_Access">
        <w:r w:rsidRPr="00E0473C">
          <w:rPr>
            <w:rFonts w:ascii="Arial" w:hAnsi="Arial" w:cs="Arial"/>
            <w:color w:val="0563C1"/>
            <w:sz w:val="24"/>
            <w:szCs w:val="24"/>
            <w:u w:val="single" w:color="0563C1"/>
          </w:rPr>
          <w:t xml:space="preserve"> </w:t>
        </w:r>
      </w:hyperlink>
      <w:hyperlink r:id="rId15" w:anchor="Equiv_Access">
        <w:r w:rsidRPr="00E0473C">
          <w:rPr>
            <w:rFonts w:ascii="Arial" w:hAnsi="Arial" w:cs="Arial"/>
            <w:color w:val="0563C1"/>
            <w:sz w:val="24"/>
            <w:szCs w:val="24"/>
            <w:u w:val="single" w:color="0563C1"/>
          </w:rPr>
          <w:t>access</w:t>
        </w:r>
      </w:hyperlink>
      <w:hyperlink r:id="rId16" w:anchor="Equiv_Access">
        <w:r w:rsidRPr="00E0473C">
          <w:rPr>
            <w:rFonts w:ascii="Arial" w:hAnsi="Arial" w:cs="Arial"/>
            <w:sz w:val="24"/>
            <w:szCs w:val="24"/>
          </w:rPr>
          <w:t>.</w:t>
        </w:r>
      </w:hyperlink>
      <w:r w:rsidRPr="00E0473C">
        <w:rPr>
          <w:rFonts w:ascii="Arial" w:hAnsi="Arial" w:cs="Arial"/>
          <w:sz w:val="24"/>
          <w:szCs w:val="24"/>
        </w:rPr>
        <w:t xml:space="preserve"> </w:t>
      </w:r>
    </w:p>
    <w:p w14:paraId="68B1A72A" w14:textId="77777777" w:rsidR="00B20A31" w:rsidRPr="00E0473C" w:rsidRDefault="00114D25">
      <w:pPr>
        <w:numPr>
          <w:ilvl w:val="0"/>
          <w:numId w:val="1"/>
        </w:numPr>
        <w:ind w:hanging="360"/>
        <w:rPr>
          <w:rFonts w:ascii="Arial" w:hAnsi="Arial" w:cs="Arial"/>
          <w:sz w:val="24"/>
          <w:szCs w:val="24"/>
        </w:rPr>
      </w:pPr>
      <w:r w:rsidRPr="00E0473C">
        <w:rPr>
          <w:rFonts w:ascii="Arial" w:hAnsi="Arial" w:cs="Arial"/>
          <w:sz w:val="24"/>
          <w:szCs w:val="24"/>
        </w:rPr>
        <w:t xml:space="preserve">Agencies must identify an information technology accessibility coordinator to be the key contact regarding the agency's information technology accessibility plan and to support complaint resolution.   </w:t>
      </w:r>
    </w:p>
    <w:p w14:paraId="0266E12F" w14:textId="77777777" w:rsidR="00B20A31" w:rsidRPr="00E0473C" w:rsidRDefault="00114D25">
      <w:pPr>
        <w:numPr>
          <w:ilvl w:val="0"/>
          <w:numId w:val="1"/>
        </w:numPr>
        <w:ind w:hanging="360"/>
        <w:rPr>
          <w:rFonts w:ascii="Arial" w:hAnsi="Arial" w:cs="Arial"/>
          <w:sz w:val="24"/>
          <w:szCs w:val="24"/>
        </w:rPr>
      </w:pPr>
      <w:r w:rsidRPr="00E0473C">
        <w:rPr>
          <w:rFonts w:ascii="Arial" w:hAnsi="Arial" w:cs="Arial"/>
          <w:sz w:val="24"/>
          <w:szCs w:val="24"/>
        </w:rPr>
        <w:t xml:space="preserve">Agencies must develop policy and processes to support and ensure compliance with this policy and associated standard.   </w:t>
      </w:r>
    </w:p>
    <w:p w14:paraId="3FD98345" w14:textId="77777777" w:rsidR="00B20A31" w:rsidRPr="00E0473C" w:rsidRDefault="00114D25">
      <w:pPr>
        <w:numPr>
          <w:ilvl w:val="0"/>
          <w:numId w:val="1"/>
        </w:numPr>
        <w:ind w:hanging="360"/>
        <w:rPr>
          <w:rFonts w:ascii="Arial" w:hAnsi="Arial" w:cs="Arial"/>
          <w:sz w:val="24"/>
          <w:szCs w:val="24"/>
        </w:rPr>
      </w:pPr>
      <w:r w:rsidRPr="00E0473C">
        <w:rPr>
          <w:rFonts w:ascii="Arial" w:hAnsi="Arial" w:cs="Arial"/>
          <w:sz w:val="24"/>
          <w:szCs w:val="24"/>
        </w:rPr>
        <w:lastRenderedPageBreak/>
        <w:t xml:space="preserve">Agencies must develop, implement and maintain an Accessibility Plan that identifies how the agency will ensure new covered technologies are accessible and the plan for making existing covered technologies accessible.   </w:t>
      </w:r>
    </w:p>
    <w:p w14:paraId="168DB494" w14:textId="77777777" w:rsidR="00B20A31" w:rsidRPr="00E0473C" w:rsidRDefault="00114D25">
      <w:pPr>
        <w:numPr>
          <w:ilvl w:val="1"/>
          <w:numId w:val="1"/>
        </w:numPr>
        <w:ind w:hanging="360"/>
        <w:rPr>
          <w:rFonts w:ascii="Arial" w:hAnsi="Arial" w:cs="Arial"/>
          <w:sz w:val="24"/>
          <w:szCs w:val="24"/>
        </w:rPr>
      </w:pPr>
      <w:r w:rsidRPr="00E0473C">
        <w:rPr>
          <w:rFonts w:ascii="Arial" w:hAnsi="Arial" w:cs="Arial"/>
          <w:sz w:val="24"/>
          <w:szCs w:val="24"/>
        </w:rPr>
        <w:t xml:space="preserve">Agency plans must at least contain:  </w:t>
      </w:r>
      <w:r w:rsidRPr="00E0473C">
        <w:rPr>
          <w:rFonts w:ascii="Arial" w:hAnsi="Arial" w:cs="Arial"/>
          <w:sz w:val="24"/>
          <w:szCs w:val="24"/>
        </w:rPr>
        <w:tab/>
        <w:t xml:space="preserve"> </w:t>
      </w:r>
    </w:p>
    <w:p w14:paraId="55555952" w14:textId="77777777" w:rsidR="00B20A31" w:rsidRPr="00E0473C" w:rsidRDefault="00114D25">
      <w:pPr>
        <w:numPr>
          <w:ilvl w:val="2"/>
          <w:numId w:val="1"/>
        </w:numPr>
        <w:ind w:hanging="386"/>
        <w:rPr>
          <w:rFonts w:ascii="Arial" w:hAnsi="Arial" w:cs="Arial"/>
          <w:sz w:val="24"/>
          <w:szCs w:val="24"/>
        </w:rPr>
      </w:pPr>
      <w:r w:rsidRPr="00E0473C">
        <w:rPr>
          <w:rFonts w:ascii="Arial" w:hAnsi="Arial" w:cs="Arial"/>
          <w:sz w:val="24"/>
          <w:szCs w:val="24"/>
        </w:rPr>
        <w:t xml:space="preserve">A list of prioritized non-accessible covered technology, recommended alternative access methods and actions being taken to correct the issue. </w:t>
      </w:r>
    </w:p>
    <w:p w14:paraId="46508A89" w14:textId="77777777" w:rsidR="00B20A31" w:rsidRPr="00E0473C" w:rsidRDefault="00114D25">
      <w:pPr>
        <w:numPr>
          <w:ilvl w:val="2"/>
          <w:numId w:val="1"/>
        </w:numPr>
        <w:spacing w:after="33" w:line="259" w:lineRule="auto"/>
        <w:ind w:hanging="386"/>
        <w:rPr>
          <w:rFonts w:ascii="Arial" w:hAnsi="Arial" w:cs="Arial"/>
          <w:sz w:val="24"/>
          <w:szCs w:val="24"/>
        </w:rPr>
      </w:pPr>
      <w:r w:rsidRPr="00E0473C">
        <w:rPr>
          <w:rFonts w:ascii="Arial" w:hAnsi="Arial" w:cs="Arial"/>
          <w:sz w:val="24"/>
          <w:szCs w:val="24"/>
        </w:rPr>
        <w:t xml:space="preserve">Contact information for the agency accessibility coordinator.  </w:t>
      </w:r>
    </w:p>
    <w:p w14:paraId="1ADF8B41" w14:textId="77777777" w:rsidR="00B20A31" w:rsidRPr="00E0473C" w:rsidRDefault="00114D25" w:rsidP="002F2B6E">
      <w:pPr>
        <w:numPr>
          <w:ilvl w:val="2"/>
          <w:numId w:val="1"/>
        </w:numPr>
        <w:ind w:hanging="386"/>
        <w:rPr>
          <w:rFonts w:ascii="Arial" w:hAnsi="Arial" w:cs="Arial"/>
          <w:sz w:val="24"/>
          <w:szCs w:val="24"/>
        </w:rPr>
      </w:pPr>
      <w:r w:rsidRPr="00E0473C">
        <w:rPr>
          <w:rFonts w:ascii="Arial" w:hAnsi="Arial" w:cs="Arial"/>
          <w:sz w:val="24"/>
          <w:szCs w:val="24"/>
        </w:rPr>
        <w:t xml:space="preserve">Describe the agency policy concerning accessibility.    </w:t>
      </w:r>
    </w:p>
    <w:p w14:paraId="0CEDFC28" w14:textId="77777777" w:rsidR="00114D25" w:rsidRPr="00E0473C" w:rsidRDefault="00114D25" w:rsidP="002F2B6E">
      <w:pPr>
        <w:ind w:left="2160" w:firstLine="0"/>
        <w:rPr>
          <w:sz w:val="24"/>
          <w:szCs w:val="24"/>
        </w:rPr>
      </w:pPr>
    </w:p>
    <w:p w14:paraId="1558A255" w14:textId="0EE7F99A" w:rsidR="00B20A31" w:rsidRPr="00E0473C" w:rsidRDefault="00114D25" w:rsidP="00E0473C">
      <w:pPr>
        <w:spacing w:after="292" w:line="259" w:lineRule="auto"/>
        <w:ind w:left="-5"/>
        <w:rPr>
          <w:rFonts w:ascii="Arial" w:hAnsi="Arial" w:cs="Arial"/>
          <w:sz w:val="24"/>
          <w:szCs w:val="24"/>
        </w:rPr>
      </w:pPr>
      <w:r w:rsidRPr="00E0473C">
        <w:rPr>
          <w:bCs/>
          <w:sz w:val="40"/>
          <w:szCs w:val="40"/>
        </w:rPr>
        <w:t xml:space="preserve">SUNSET REVIEW DATE: </w:t>
      </w:r>
      <w:r w:rsidR="00DB40E7">
        <w:rPr>
          <w:rFonts w:ascii="Arial" w:hAnsi="Arial" w:cs="Arial"/>
          <w:sz w:val="24"/>
          <w:szCs w:val="24"/>
        </w:rPr>
        <w:t>August 31, 2021</w:t>
      </w:r>
      <w:bookmarkStart w:id="0" w:name="_GoBack"/>
      <w:bookmarkEnd w:id="0"/>
    </w:p>
    <w:p w14:paraId="4BB604E2" w14:textId="595985F1" w:rsidR="00B20A31" w:rsidRPr="00E0473C" w:rsidRDefault="00114D25" w:rsidP="00E0473C">
      <w:pPr>
        <w:spacing w:after="292" w:line="259" w:lineRule="auto"/>
        <w:ind w:left="-5"/>
        <w:rPr>
          <w:rFonts w:ascii="Arial" w:hAnsi="Arial" w:cs="Arial"/>
          <w:sz w:val="24"/>
          <w:szCs w:val="24"/>
        </w:rPr>
      </w:pPr>
      <w:r w:rsidRPr="00E0473C">
        <w:rPr>
          <w:bCs/>
          <w:sz w:val="40"/>
          <w:szCs w:val="40"/>
        </w:rPr>
        <w:t xml:space="preserve">ADOPTION DATE: </w:t>
      </w:r>
      <w:r w:rsidR="005130BA" w:rsidRPr="00E0473C">
        <w:rPr>
          <w:rFonts w:ascii="Arial" w:hAnsi="Arial" w:cs="Arial"/>
          <w:sz w:val="24"/>
          <w:szCs w:val="24"/>
        </w:rPr>
        <w:t xml:space="preserve">November </w:t>
      </w:r>
      <w:r w:rsidR="00E97E6B" w:rsidRPr="00E0473C">
        <w:rPr>
          <w:rFonts w:ascii="Arial" w:hAnsi="Arial" w:cs="Arial"/>
          <w:sz w:val="24"/>
          <w:szCs w:val="24"/>
        </w:rPr>
        <w:t xml:space="preserve">10, </w:t>
      </w:r>
      <w:r w:rsidR="005130BA" w:rsidRPr="00E0473C">
        <w:rPr>
          <w:rFonts w:ascii="Arial" w:hAnsi="Arial" w:cs="Arial"/>
          <w:sz w:val="24"/>
          <w:szCs w:val="24"/>
        </w:rPr>
        <w:t>2019</w:t>
      </w:r>
    </w:p>
    <w:p w14:paraId="3A22035C" w14:textId="281F71B2" w:rsidR="00B20A31" w:rsidRPr="00E0473C" w:rsidRDefault="00114D25" w:rsidP="00E0473C">
      <w:pPr>
        <w:spacing w:after="292" w:line="259" w:lineRule="auto"/>
        <w:ind w:left="-5"/>
        <w:rPr>
          <w:rFonts w:ascii="Arial" w:hAnsi="Arial" w:cs="Arial"/>
          <w:sz w:val="24"/>
          <w:szCs w:val="24"/>
        </w:rPr>
      </w:pPr>
      <w:r w:rsidRPr="00E0473C">
        <w:rPr>
          <w:bCs/>
          <w:sz w:val="40"/>
          <w:szCs w:val="40"/>
        </w:rPr>
        <w:t xml:space="preserve">APPROVAL DATE: </w:t>
      </w:r>
      <w:r w:rsidRPr="00E0473C">
        <w:rPr>
          <w:sz w:val="24"/>
          <w:szCs w:val="24"/>
        </w:rPr>
        <w:t xml:space="preserve"> </w:t>
      </w:r>
      <w:r w:rsidR="005F210A" w:rsidRPr="00E0473C">
        <w:rPr>
          <w:rFonts w:ascii="Arial" w:hAnsi="Arial" w:cs="Arial"/>
          <w:sz w:val="24"/>
          <w:szCs w:val="24"/>
        </w:rPr>
        <w:t>March 10, 2020</w:t>
      </w:r>
    </w:p>
    <w:p w14:paraId="45E7B8EA" w14:textId="77777777" w:rsidR="00B20A31" w:rsidRDefault="00114D25">
      <w:pPr>
        <w:spacing w:after="280" w:line="259" w:lineRule="auto"/>
        <w:ind w:left="0" w:firstLine="0"/>
      </w:pPr>
      <w:r>
        <w:t xml:space="preserve"> </w:t>
      </w:r>
    </w:p>
    <w:p w14:paraId="65ADB056" w14:textId="77777777" w:rsidR="005130BA" w:rsidRDefault="005130BA">
      <w:pPr>
        <w:spacing w:after="0" w:line="259" w:lineRule="auto"/>
        <w:ind w:left="0" w:firstLine="0"/>
      </w:pPr>
    </w:p>
    <w:sectPr w:rsidR="005130BA" w:rsidSect="00E8502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24834" w14:textId="77777777" w:rsidR="002F2B6E" w:rsidRDefault="002F2B6E" w:rsidP="002F2B6E">
      <w:pPr>
        <w:spacing w:after="0" w:line="240" w:lineRule="auto"/>
      </w:pPr>
      <w:r>
        <w:separator/>
      </w:r>
    </w:p>
  </w:endnote>
  <w:endnote w:type="continuationSeparator" w:id="0">
    <w:p w14:paraId="39A80735" w14:textId="77777777" w:rsidR="002F2B6E" w:rsidRDefault="002F2B6E" w:rsidP="002F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2FC2" w14:textId="77777777" w:rsidR="002F2B6E" w:rsidRDefault="002F2B6E" w:rsidP="002F2B6E">
      <w:pPr>
        <w:spacing w:after="0" w:line="240" w:lineRule="auto"/>
      </w:pPr>
      <w:r>
        <w:separator/>
      </w:r>
    </w:p>
  </w:footnote>
  <w:footnote w:type="continuationSeparator" w:id="0">
    <w:p w14:paraId="48242602" w14:textId="77777777" w:rsidR="002F2B6E" w:rsidRDefault="002F2B6E" w:rsidP="002F2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205CE"/>
    <w:multiLevelType w:val="hybridMultilevel"/>
    <w:tmpl w:val="E34EADD2"/>
    <w:lvl w:ilvl="0" w:tplc="DFC4ED6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10F5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C4A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CF246">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ACAB6">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C02B2E">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04CA08">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529A3E">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02CFA4">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31"/>
    <w:rsid w:val="000A5BFB"/>
    <w:rsid w:val="00114D25"/>
    <w:rsid w:val="001758BE"/>
    <w:rsid w:val="002F2B6E"/>
    <w:rsid w:val="00347CC2"/>
    <w:rsid w:val="004B7247"/>
    <w:rsid w:val="005130BA"/>
    <w:rsid w:val="005F210A"/>
    <w:rsid w:val="006876C5"/>
    <w:rsid w:val="008C67F9"/>
    <w:rsid w:val="00A744EB"/>
    <w:rsid w:val="00B20A31"/>
    <w:rsid w:val="00CD51BF"/>
    <w:rsid w:val="00DB40E7"/>
    <w:rsid w:val="00DE21E2"/>
    <w:rsid w:val="00E0473C"/>
    <w:rsid w:val="00E85029"/>
    <w:rsid w:val="00E9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49A67"/>
  <w15:docId w15:val="{03FD7235-F74E-49E8-AE4D-6148D2E8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9" w:line="262"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3"/>
      <w:ind w:left="10" w:hanging="10"/>
      <w:outlineLvl w:val="0"/>
    </w:pPr>
    <w:rPr>
      <w:rFonts w:ascii="Calibri" w:eastAsia="Calibri" w:hAnsi="Calibri" w:cs="Calibri"/>
      <w:color w:val="000000"/>
      <w:sz w:val="26"/>
    </w:rPr>
  </w:style>
  <w:style w:type="paragraph" w:styleId="Heading3">
    <w:name w:val="heading 3"/>
    <w:basedOn w:val="Normal"/>
    <w:next w:val="Normal"/>
    <w:link w:val="Heading3Char"/>
    <w:uiPriority w:val="9"/>
    <w:unhideWhenUsed/>
    <w:qFormat/>
    <w:rsid w:val="005130BA"/>
    <w:pPr>
      <w:keepNext/>
      <w:keepLines/>
      <w:spacing w:before="40" w:after="0" w:line="259" w:lineRule="auto"/>
      <w:ind w:left="0" w:firstLine="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687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C5"/>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rsid w:val="005130B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2F2B6E"/>
    <w:pPr>
      <w:widowControl w:val="0"/>
      <w:autoSpaceDE w:val="0"/>
      <w:autoSpaceDN w:val="0"/>
      <w:adjustRightInd w:val="0"/>
      <w:spacing w:before="1" w:after="0" w:line="240" w:lineRule="auto"/>
      <w:ind w:left="122" w:firstLine="0"/>
    </w:pPr>
    <w:rPr>
      <w:rFonts w:ascii="Arial" w:eastAsiaTheme="minorEastAsia" w:hAnsi="Arial" w:cs="Arial"/>
      <w:b/>
      <w:bCs/>
      <w:color w:val="auto"/>
      <w:sz w:val="19"/>
      <w:szCs w:val="19"/>
    </w:rPr>
  </w:style>
  <w:style w:type="character" w:customStyle="1" w:styleId="BodyTextChar">
    <w:name w:val="Body Text Char"/>
    <w:basedOn w:val="DefaultParagraphFont"/>
    <w:link w:val="BodyText"/>
    <w:uiPriority w:val="1"/>
    <w:rsid w:val="002F2B6E"/>
    <w:rPr>
      <w:rFonts w:ascii="Arial" w:hAnsi="Arial" w:cs="Arial"/>
      <w:b/>
      <w:bCs/>
      <w:sz w:val="19"/>
      <w:szCs w:val="19"/>
    </w:rPr>
  </w:style>
  <w:style w:type="character" w:styleId="Hyperlink">
    <w:name w:val="Hyperlink"/>
    <w:uiPriority w:val="99"/>
    <w:unhideWhenUsed/>
    <w:rsid w:val="002F2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io.wa.gov/definition-terms-used-ocio-policies-and-reports" TargetMode="External"/><Relationship Id="rId13" Type="http://schemas.openxmlformats.org/officeDocument/2006/relationships/hyperlink" Target="http://ocio.wa.gov/policies/definition-terms-used-ocio-policies-and-repo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io.wa.gov/definition-terms-used-ocio-policies-and-reports" TargetMode="External"/><Relationship Id="rId12" Type="http://schemas.openxmlformats.org/officeDocument/2006/relationships/hyperlink" Target="http://ocio.wa.gov/policies/definition-terms-used-ocio-policies-and-re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cio.wa.gov/policies/definition-terms-used-ocio-policies-and-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io.wa.gov/policies/definition-terms-used-ocio-policies-and-reports" TargetMode="External"/><Relationship Id="rId5" Type="http://schemas.openxmlformats.org/officeDocument/2006/relationships/footnotes" Target="footnotes.xml"/><Relationship Id="rId15" Type="http://schemas.openxmlformats.org/officeDocument/2006/relationships/hyperlink" Target="http://ocio.wa.gov/policies/definition-terms-used-ocio-policies-and-reports" TargetMode="External"/><Relationship Id="rId10" Type="http://schemas.openxmlformats.org/officeDocument/2006/relationships/hyperlink" Target="http://ocio.wa.gov/policies/definition-terms-used-ocio-policies-and-reports" TargetMode="External"/><Relationship Id="rId4" Type="http://schemas.openxmlformats.org/officeDocument/2006/relationships/webSettings" Target="webSettings.xml"/><Relationship Id="rId9" Type="http://schemas.openxmlformats.org/officeDocument/2006/relationships/hyperlink" Target="http://ocio.wa.gov/policies/definition-terms-used-ocio-policies-and-reports" TargetMode="External"/><Relationship Id="rId14" Type="http://schemas.openxmlformats.org/officeDocument/2006/relationships/hyperlink" Target="http://ocio.wa.gov/policies/definition-terms-used-ocio-policies-and-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Leisinger, Ryan (Watech)</dc:creator>
  <cp:keywords/>
  <cp:lastModifiedBy>Webster, Cammy (OCIO)</cp:lastModifiedBy>
  <cp:revision>5</cp:revision>
  <dcterms:created xsi:type="dcterms:W3CDTF">2020-03-11T22:53:00Z</dcterms:created>
  <dcterms:modified xsi:type="dcterms:W3CDTF">2020-03-12T00:42:00Z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sue.langen@ocio.wa.gov</vt:lpwstr>
  </property>
  <property fmtid="{D5CDD505-2E9C-101B-9397-08002B2CF9AE}" pid="5" name="MSIP_Label_5ca01fde-698d-412d-8f4a-985193e47ec2_SetDate">
    <vt:lpwstr>2019-12-08T23:55:56.0260404Z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12080d4f-080b-4dff-9e0a-5000b59f754e</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