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6EEBA801" w:rsidR="00830CFB" w:rsidRPr="009077E8" w:rsidRDefault="00C178AD" w:rsidP="00AE4C71">
      <w:pPr>
        <w:pBdr>
          <w:bottom w:val="single" w:sz="4" w:space="1" w:color="auto"/>
        </w:pBdr>
        <w:spacing w:line="360" w:lineRule="auto"/>
        <w:ind w:right="72"/>
        <w:jc w:val="center"/>
        <w:rPr>
          <w:b/>
          <w:bCs/>
          <w:sz w:val="32"/>
          <w:szCs w:val="32"/>
        </w:rPr>
      </w:pPr>
      <w:r>
        <w:rPr>
          <w:b/>
          <w:bCs/>
          <w:sz w:val="32"/>
          <w:szCs w:val="32"/>
        </w:rPr>
        <w:t>24-RFQ-0</w:t>
      </w:r>
      <w:r w:rsidR="00AA1133">
        <w:rPr>
          <w:b/>
          <w:bCs/>
          <w:sz w:val="32"/>
          <w:szCs w:val="32"/>
        </w:rPr>
        <w:t>1</w:t>
      </w:r>
      <w:r w:rsidR="00073B6C">
        <w:rPr>
          <w:b/>
          <w:bCs/>
          <w:sz w:val="32"/>
          <w:szCs w:val="32"/>
        </w:rPr>
        <w:t>6</w:t>
      </w:r>
    </w:p>
    <w:p w14:paraId="56CDCE8D" w14:textId="54B46312"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832389">
        <w:rPr>
          <w:b/>
          <w:bCs/>
        </w:rPr>
        <w:t>October 25</w:t>
      </w:r>
      <w:r w:rsidR="00E74240">
        <w:rPr>
          <w:b/>
          <w:bCs/>
        </w:rPr>
        <w:t>,</w:t>
      </w:r>
      <w:r w:rsidR="00AC4EB1">
        <w:rPr>
          <w:b/>
          <w:bCs/>
        </w:rPr>
        <w:t xml:space="preserve"> 2023</w:t>
      </w:r>
    </w:p>
    <w:p w14:paraId="3079CAB2" w14:textId="081594DE"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832389">
        <w:rPr>
          <w:b/>
          <w:bCs/>
        </w:rPr>
        <w:t>November 15</w:t>
      </w:r>
      <w:r w:rsidR="00AC4EB1">
        <w:rPr>
          <w:b/>
          <w:bCs/>
        </w:rPr>
        <w:t>, 2023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w:t>
      </w:r>
      <w:r>
        <w:lastRenderedPageBreak/>
        <w:t xml:space="preserve">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71B55D54" w14:textId="77777777" w:rsidR="00C82CD4" w:rsidRDefault="00C82CD4" w:rsidP="00582B8F">
      <w:pPr>
        <w:pStyle w:val="ListParagraph"/>
        <w:spacing w:before="108"/>
        <w:ind w:right="288"/>
        <w:jc w:val="both"/>
      </w:pP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3A51FEC6" w14:textId="55CA5839"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26361E1A" w:rsidR="003806E6" w:rsidRPr="00AA4737" w:rsidRDefault="00D70EDD" w:rsidP="008B2655">
            <w:pPr>
              <w:spacing w:before="216" w:after="72"/>
              <w:jc w:val="center"/>
              <w:rPr>
                <w:rFonts w:eastAsiaTheme="minorHAnsi"/>
              </w:rPr>
            </w:pPr>
            <w:r>
              <w:rPr>
                <w:rFonts w:eastAsiaTheme="minorHAnsi"/>
              </w:rPr>
              <w:t>10/25/</w:t>
            </w:r>
            <w:r w:rsidR="00C82CD4">
              <w:rPr>
                <w:rFonts w:eastAsiaTheme="minorHAnsi"/>
              </w:rPr>
              <w:t>2023</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2400B0E6" w:rsidR="003806E6" w:rsidRPr="00AA4737" w:rsidRDefault="00C65A02" w:rsidP="008B2655">
            <w:pPr>
              <w:spacing w:before="216" w:after="72"/>
              <w:jc w:val="center"/>
              <w:rPr>
                <w:rFonts w:eastAsiaTheme="minorHAnsi"/>
              </w:rPr>
            </w:pPr>
            <w:r>
              <w:rPr>
                <w:rFonts w:eastAsiaTheme="minorHAnsi"/>
              </w:rPr>
              <w:t>10/</w:t>
            </w:r>
            <w:r w:rsidR="00D556D3">
              <w:rPr>
                <w:rFonts w:eastAsiaTheme="minorHAnsi"/>
              </w:rPr>
              <w:t>31</w:t>
            </w:r>
            <w:r w:rsidR="00C82CD4">
              <w:rPr>
                <w:rFonts w:eastAsiaTheme="minorHAnsi"/>
              </w:rPr>
              <w:t>/</w:t>
            </w:r>
            <w:r w:rsidR="001473F3">
              <w:rPr>
                <w:rFonts w:eastAsiaTheme="minorHAnsi"/>
              </w:rPr>
              <w:t>2023</w:t>
            </w:r>
          </w:p>
        </w:tc>
        <w:tc>
          <w:tcPr>
            <w:tcW w:w="5561" w:type="dxa"/>
            <w:tcBorders>
              <w:left w:val="single" w:sz="4" w:space="0" w:color="auto"/>
            </w:tcBorders>
            <w:hideMark/>
          </w:tcPr>
          <w:p w14:paraId="16FBCDB4" w14:textId="5B6027C0"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3806E6" w14:paraId="08DE2A8B" w14:textId="77777777" w:rsidTr="008B2655">
        <w:tc>
          <w:tcPr>
            <w:tcW w:w="2264" w:type="dxa"/>
            <w:tcBorders>
              <w:top w:val="single" w:sz="4" w:space="0" w:color="auto"/>
            </w:tcBorders>
          </w:tcPr>
          <w:p w14:paraId="40607081" w14:textId="0745D5F4" w:rsidR="003806E6" w:rsidRPr="00AA4737" w:rsidRDefault="00D556D3" w:rsidP="008B2655">
            <w:pPr>
              <w:spacing w:before="216" w:after="72"/>
              <w:jc w:val="center"/>
              <w:rPr>
                <w:rFonts w:eastAsiaTheme="minorHAnsi"/>
              </w:rPr>
            </w:pPr>
            <w:r>
              <w:rPr>
                <w:rFonts w:eastAsiaTheme="minorHAnsi"/>
              </w:rPr>
              <w:t>11</w:t>
            </w:r>
            <w:r w:rsidR="00A265F2">
              <w:rPr>
                <w:rFonts w:eastAsiaTheme="minorHAnsi"/>
              </w:rPr>
              <w:t>/</w:t>
            </w:r>
            <w:r>
              <w:rPr>
                <w:rFonts w:eastAsiaTheme="minorHAnsi"/>
              </w:rPr>
              <w:t>02</w:t>
            </w:r>
            <w:r w:rsidR="00680247">
              <w:rPr>
                <w:rFonts w:eastAsiaTheme="minorHAnsi"/>
              </w:rPr>
              <w:t>/2023</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2E0E36" w14:paraId="79DF34B0" w14:textId="77777777" w:rsidTr="008B2655">
        <w:tc>
          <w:tcPr>
            <w:tcW w:w="2264" w:type="dxa"/>
            <w:tcBorders>
              <w:bottom w:val="single" w:sz="4" w:space="0" w:color="auto"/>
            </w:tcBorders>
          </w:tcPr>
          <w:p w14:paraId="7EBE3DB8" w14:textId="6063DC84" w:rsidR="002E0E36" w:rsidRDefault="008F2128" w:rsidP="008B2655">
            <w:pPr>
              <w:spacing w:before="216" w:after="72"/>
              <w:jc w:val="center"/>
              <w:rPr>
                <w:rFonts w:eastAsiaTheme="minorHAnsi"/>
              </w:rPr>
            </w:pPr>
            <w:r>
              <w:rPr>
                <w:rFonts w:eastAsiaTheme="minorHAnsi"/>
              </w:rPr>
              <w:t>11/03</w:t>
            </w:r>
            <w:r w:rsidR="002E0E36">
              <w:rPr>
                <w:rFonts w:eastAsiaTheme="minorHAnsi"/>
              </w:rPr>
              <w:t>/2023</w:t>
            </w:r>
          </w:p>
        </w:tc>
        <w:tc>
          <w:tcPr>
            <w:tcW w:w="5561" w:type="dxa"/>
          </w:tcPr>
          <w:p w14:paraId="58CBC7AF" w14:textId="34F07938" w:rsidR="002E0E36" w:rsidRDefault="002E0E36" w:rsidP="002E0E36">
            <w:pPr>
              <w:spacing w:before="216" w:after="72"/>
            </w:pPr>
            <w:r>
              <w:t>Pre</w:t>
            </w:r>
            <w:r w:rsidR="0031798C">
              <w:t>-</w:t>
            </w:r>
            <w:r>
              <w:t xml:space="preserve">proposal Conference </w:t>
            </w:r>
            <w:r w:rsidRPr="0044319C">
              <w:rPr>
                <w:b/>
                <w:bCs/>
              </w:rPr>
              <w:t>11:</w:t>
            </w:r>
            <w:r>
              <w:rPr>
                <w:b/>
                <w:bCs/>
              </w:rPr>
              <w:t>3</w:t>
            </w:r>
            <w:r w:rsidRPr="0044319C">
              <w:rPr>
                <w:b/>
                <w:bCs/>
              </w:rPr>
              <w:t xml:space="preserve">0am – </w:t>
            </w:r>
            <w:r>
              <w:rPr>
                <w:b/>
                <w:bCs/>
              </w:rPr>
              <w:t>12:00pm</w:t>
            </w:r>
            <w:r w:rsidRPr="0044319C">
              <w:rPr>
                <w:b/>
                <w:bCs/>
              </w:rPr>
              <w:t xml:space="preserve">* </w:t>
            </w:r>
            <w:r>
              <w:rPr>
                <w:b/>
                <w:bCs/>
              </w:rPr>
              <w:t>Olympia Time</w:t>
            </w:r>
          </w:p>
          <w:p w14:paraId="6E324408" w14:textId="77777777" w:rsidR="007046C9" w:rsidRDefault="007046C9" w:rsidP="007046C9">
            <w:pPr>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1968D667" w14:textId="77777777" w:rsidR="007046C9" w:rsidRDefault="007046C9" w:rsidP="007046C9">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65F5EBAE" w14:textId="77777777" w:rsidR="007046C9" w:rsidRDefault="007046C9" w:rsidP="007046C9">
            <w:pPr>
              <w:rPr>
                <w:rFonts w:ascii="Segoe UI" w:hAnsi="Segoe UI" w:cs="Segoe UI"/>
                <w:color w:val="252424"/>
              </w:rPr>
            </w:pPr>
            <w:hyperlink r:id="rId13"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265F703E" w14:textId="77777777" w:rsidR="007046C9" w:rsidRDefault="007046C9" w:rsidP="007046C9">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262 271 215 197</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5ecvJc </w:t>
            </w:r>
          </w:p>
          <w:p w14:paraId="3661C1EE" w14:textId="77777777" w:rsidR="007046C9" w:rsidRDefault="007046C9" w:rsidP="007046C9">
            <w:pPr>
              <w:rPr>
                <w:rFonts w:ascii="Segoe UI" w:hAnsi="Segoe UI" w:cs="Segoe UI"/>
                <w:color w:val="252424"/>
                <w:sz w:val="21"/>
                <w:szCs w:val="21"/>
              </w:rPr>
            </w:pPr>
            <w:hyperlink r:id="rId14"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5" w:tgtFrame="_blank" w:history="1">
              <w:r>
                <w:rPr>
                  <w:rStyle w:val="Hyperlink"/>
                  <w:rFonts w:ascii="Segoe UI" w:hAnsi="Segoe UI" w:cs="Segoe UI"/>
                  <w:color w:val="6264A7"/>
                  <w:sz w:val="21"/>
                  <w:szCs w:val="21"/>
                </w:rPr>
                <w:t>Join on the web</w:t>
              </w:r>
            </w:hyperlink>
          </w:p>
          <w:p w14:paraId="5F59A545" w14:textId="77777777" w:rsidR="007046C9" w:rsidRDefault="007046C9" w:rsidP="007046C9">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0D2631CB" w14:textId="77777777" w:rsidR="007046C9" w:rsidRDefault="007046C9" w:rsidP="007046C9">
            <w:pPr>
              <w:rPr>
                <w:rFonts w:ascii="Segoe UI" w:hAnsi="Segoe UI" w:cs="Segoe UI"/>
                <w:color w:val="252424"/>
              </w:rPr>
            </w:pPr>
            <w:hyperlink r:id="rId16" w:anchor=" " w:history="1">
              <w:r>
                <w:rPr>
                  <w:rStyle w:val="Hyperlink"/>
                  <w:rFonts w:ascii="Segoe UI" w:hAnsi="Segoe UI" w:cs="Segoe UI"/>
                  <w:color w:val="6264A7"/>
                  <w:sz w:val="21"/>
                  <w:szCs w:val="21"/>
                </w:rPr>
                <w:t>+1 564-999-</w:t>
              </w:r>
              <w:proofErr w:type="gramStart"/>
              <w:r>
                <w:rPr>
                  <w:rStyle w:val="Hyperlink"/>
                  <w:rFonts w:ascii="Segoe UI" w:hAnsi="Segoe UI" w:cs="Segoe UI"/>
                  <w:color w:val="6264A7"/>
                  <w:sz w:val="21"/>
                  <w:szCs w:val="21"/>
                </w:rPr>
                <w:t>2000,,</w:t>
              </w:r>
              <w:proofErr w:type="gramEnd"/>
              <w:r>
                <w:rPr>
                  <w:rStyle w:val="Hyperlink"/>
                  <w:rFonts w:ascii="Segoe UI" w:hAnsi="Segoe UI" w:cs="Segoe UI"/>
                  <w:color w:val="6264A7"/>
                  <w:sz w:val="21"/>
                  <w:szCs w:val="21"/>
                </w:rPr>
                <w:t>110644370#</w:t>
              </w:r>
            </w:hyperlink>
            <w:r>
              <w:rPr>
                <w:rFonts w:ascii="Segoe UI" w:hAnsi="Segoe UI" w:cs="Segoe UI"/>
                <w:color w:val="252424"/>
              </w:rPr>
              <w:t xml:space="preserve"> </w:t>
            </w:r>
            <w:r>
              <w:rPr>
                <w:rFonts w:ascii="Segoe UI" w:hAnsi="Segoe UI" w:cs="Segoe UI"/>
                <w:color w:val="252424"/>
                <w:sz w:val="21"/>
                <w:szCs w:val="21"/>
              </w:rPr>
              <w:t xml:space="preserve">  United States, Olympia </w:t>
            </w:r>
          </w:p>
          <w:p w14:paraId="0D50F78A" w14:textId="77777777" w:rsidR="007046C9" w:rsidRDefault="007046C9" w:rsidP="007046C9">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110 644 370# </w:t>
            </w:r>
          </w:p>
          <w:p w14:paraId="6352C868" w14:textId="136DAEA1" w:rsidR="002E0E36" w:rsidRDefault="002E0E36" w:rsidP="0011005B"/>
        </w:tc>
      </w:tr>
      <w:tr w:rsidR="004F6788" w14:paraId="7EF7B95D" w14:textId="77777777" w:rsidTr="008B2655">
        <w:tc>
          <w:tcPr>
            <w:tcW w:w="2264" w:type="dxa"/>
            <w:tcBorders>
              <w:bottom w:val="single" w:sz="4" w:space="0" w:color="auto"/>
            </w:tcBorders>
          </w:tcPr>
          <w:p w14:paraId="17E23075" w14:textId="709D7F70" w:rsidR="004F6788" w:rsidRDefault="000171D3" w:rsidP="008B2655">
            <w:pPr>
              <w:spacing w:before="216" w:after="72"/>
              <w:jc w:val="center"/>
              <w:rPr>
                <w:rFonts w:eastAsiaTheme="minorHAnsi"/>
              </w:rPr>
            </w:pPr>
            <w:r>
              <w:rPr>
                <w:rFonts w:eastAsiaTheme="minorHAnsi"/>
              </w:rPr>
              <w:t>11/07</w:t>
            </w:r>
            <w:r w:rsidR="004F6788">
              <w:rPr>
                <w:rFonts w:eastAsiaTheme="minorHAnsi"/>
              </w:rPr>
              <w:t>/2023</w:t>
            </w:r>
          </w:p>
        </w:tc>
        <w:tc>
          <w:tcPr>
            <w:tcW w:w="5561" w:type="dxa"/>
          </w:tcPr>
          <w:p w14:paraId="5B69A54F" w14:textId="5A136402" w:rsidR="004F6788" w:rsidRDefault="004F6788" w:rsidP="008B2655">
            <w:pPr>
              <w:spacing w:before="216" w:after="72"/>
            </w:pPr>
            <w:r>
              <w:t>Pre</w:t>
            </w:r>
            <w:r w:rsidR="0031798C">
              <w:t>-</w:t>
            </w:r>
            <w:r>
              <w:t>proposal Conference Amendment issued</w:t>
            </w:r>
            <w:r w:rsidR="000C71EC">
              <w:t xml:space="preserve"> – </w:t>
            </w:r>
            <w:r w:rsidR="0011005B">
              <w:t>*</w:t>
            </w:r>
            <w:r w:rsidR="000C71EC">
              <w:t>if applicable</w:t>
            </w:r>
          </w:p>
        </w:tc>
      </w:tr>
      <w:tr w:rsidR="003806E6" w14:paraId="3AA6CFF6" w14:textId="77777777" w:rsidTr="008B2655">
        <w:tc>
          <w:tcPr>
            <w:tcW w:w="2264" w:type="dxa"/>
            <w:tcBorders>
              <w:bottom w:val="single" w:sz="4" w:space="0" w:color="auto"/>
            </w:tcBorders>
          </w:tcPr>
          <w:p w14:paraId="4E12CFBE" w14:textId="0E8D557F" w:rsidR="003806E6" w:rsidRPr="00AA4737" w:rsidRDefault="000171D3" w:rsidP="008B2655">
            <w:pPr>
              <w:spacing w:before="216" w:after="72"/>
              <w:jc w:val="center"/>
              <w:rPr>
                <w:rFonts w:eastAsiaTheme="minorHAnsi"/>
              </w:rPr>
            </w:pPr>
            <w:r>
              <w:rPr>
                <w:rFonts w:eastAsiaTheme="minorHAnsi"/>
              </w:rPr>
              <w:t>11/10</w:t>
            </w:r>
            <w:r w:rsidR="004E4E2B">
              <w:rPr>
                <w:rFonts w:eastAsiaTheme="minorHAnsi"/>
              </w:rPr>
              <w:t>/</w:t>
            </w:r>
            <w:r w:rsidR="00680247">
              <w:rPr>
                <w:rFonts w:eastAsiaTheme="minorHAnsi"/>
              </w:rPr>
              <w:t>2023</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2183BE8C" w:rsidR="003806E6" w:rsidRPr="00AA4737" w:rsidRDefault="000171D3" w:rsidP="008B2655">
            <w:pPr>
              <w:spacing w:before="216" w:after="72"/>
              <w:jc w:val="center"/>
              <w:rPr>
                <w:rFonts w:eastAsiaTheme="minorHAnsi"/>
              </w:rPr>
            </w:pPr>
            <w:r>
              <w:t>11/15</w:t>
            </w:r>
            <w:r w:rsidR="00F15261">
              <w:t>/2023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60547E65" w:rsidR="003806E6" w:rsidRPr="00AA4737" w:rsidRDefault="000171D3" w:rsidP="008B2655">
            <w:pPr>
              <w:spacing w:before="216" w:after="72"/>
              <w:jc w:val="center"/>
              <w:rPr>
                <w:rFonts w:eastAsiaTheme="minorHAnsi"/>
              </w:rPr>
            </w:pPr>
            <w:r>
              <w:rPr>
                <w:rFonts w:eastAsiaTheme="minorHAnsi"/>
              </w:rPr>
              <w:t>11/2</w:t>
            </w:r>
            <w:r w:rsidR="007A638E">
              <w:rPr>
                <w:rFonts w:eastAsiaTheme="minorHAnsi"/>
              </w:rPr>
              <w:t>2</w:t>
            </w:r>
            <w:r w:rsidR="00AC4EB1">
              <w:rPr>
                <w:rFonts w:eastAsiaTheme="minorHAnsi"/>
              </w:rPr>
              <w:t>/</w:t>
            </w:r>
            <w:r w:rsidR="00F15261">
              <w:rPr>
                <w:rFonts w:eastAsiaTheme="minorHAnsi"/>
              </w:rPr>
              <w:t>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37B700E5" w:rsidR="003806E6" w:rsidRPr="00AA4737" w:rsidRDefault="00FB58ED" w:rsidP="008B2655">
            <w:pPr>
              <w:spacing w:before="216" w:after="72"/>
              <w:jc w:val="center"/>
              <w:rPr>
                <w:rFonts w:eastAsiaTheme="minorHAnsi"/>
              </w:rPr>
            </w:pPr>
            <w:r>
              <w:rPr>
                <w:rFonts w:eastAsiaTheme="minorHAnsi"/>
              </w:rPr>
              <w:t>11/27</w:t>
            </w:r>
            <w:r w:rsidR="00DA0EF9">
              <w:rPr>
                <w:rFonts w:eastAsiaTheme="minorHAnsi"/>
              </w:rPr>
              <w:t>/2</w:t>
            </w:r>
            <w:r w:rsidR="00F15261">
              <w:rPr>
                <w:rFonts w:eastAsiaTheme="minorHAnsi"/>
              </w:rPr>
              <w:t>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1016D11F" w:rsidR="003806E6" w:rsidRPr="00AA4737" w:rsidRDefault="00FB58ED" w:rsidP="008B2655">
            <w:pPr>
              <w:spacing w:before="216" w:after="72"/>
              <w:jc w:val="center"/>
              <w:rPr>
                <w:rFonts w:eastAsiaTheme="minorHAnsi"/>
              </w:rPr>
            </w:pPr>
            <w:r>
              <w:rPr>
                <w:rFonts w:eastAsiaTheme="minorHAnsi"/>
              </w:rPr>
              <w:lastRenderedPageBreak/>
              <w:t>11/28</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5507E661" w:rsidR="003806E6" w:rsidRPr="00AA4737" w:rsidRDefault="00FB58ED" w:rsidP="008B2655">
            <w:pPr>
              <w:spacing w:before="216" w:after="72"/>
              <w:jc w:val="center"/>
              <w:rPr>
                <w:rFonts w:eastAsiaTheme="minorHAnsi"/>
              </w:rPr>
            </w:pPr>
            <w:r>
              <w:rPr>
                <w:rFonts w:eastAsiaTheme="minorHAnsi"/>
              </w:rPr>
              <w:t>12</w:t>
            </w:r>
            <w:r w:rsidR="00C65A02">
              <w:rPr>
                <w:rFonts w:eastAsiaTheme="minorHAnsi"/>
              </w:rPr>
              <w:t>/01</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08994BA6" w:rsidR="00953F0E" w:rsidRDefault="00953F0E" w:rsidP="00953F0E">
      <w:pPr>
        <w:pStyle w:val="ListParagraph"/>
        <w:rPr>
          <w:rFonts w:eastAsiaTheme="minorHAnsi"/>
          <w:color w:val="0000FF"/>
          <w:sz w:val="22"/>
          <w:szCs w:val="22"/>
        </w:rPr>
      </w:pPr>
    </w:p>
    <w:p w14:paraId="7015B507" w14:textId="77777777" w:rsidR="0011005B" w:rsidRDefault="0011005B" w:rsidP="0011005B">
      <w:pPr>
        <w:spacing w:before="120"/>
        <w:ind w:left="720"/>
      </w:pPr>
      <w:r w:rsidRPr="009F382D">
        <w:t>This Schedule is subject to change by CTS.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54C644C8"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0" w:name="_Hlk144276558"/>
      <w:r w:rsidR="007E4DB8">
        <w:t>A</w:t>
      </w:r>
      <w:r>
        <w:t xml:space="preserve"> recording will be provided via the Pre</w:t>
      </w:r>
      <w:r w:rsidR="0031798C">
        <w:t>-</w:t>
      </w:r>
      <w:r>
        <w:t xml:space="preserve">proposal </w:t>
      </w:r>
      <w:r w:rsidR="0011005B">
        <w:t xml:space="preserve">Conference </w:t>
      </w:r>
      <w:r>
        <w:t>Amendment issued on the date above</w:t>
      </w:r>
      <w:r w:rsidR="007E4DB8">
        <w:t xml:space="preserve"> only if there are </w:t>
      </w:r>
      <w:r w:rsidR="0011005B">
        <w:t>Contractors</w:t>
      </w:r>
      <w:r w:rsidR="007E4DB8">
        <w:t xml:space="preserve"> in attendance at the Conference.</w:t>
      </w:r>
      <w:r w:rsidR="006256D0">
        <w:t xml:space="preserve"> </w:t>
      </w:r>
      <w:r w:rsidR="0011005B">
        <w:t>To eliminate confusion, C</w:t>
      </w:r>
      <w:r w:rsidR="006256D0">
        <w:t xml:space="preserve">TS </w:t>
      </w:r>
      <w:r w:rsidR="006256D0" w:rsidRPr="0011005B">
        <w:rPr>
          <w:u w:val="single"/>
        </w:rPr>
        <w:t>will not</w:t>
      </w:r>
      <w:r w:rsidR="006256D0">
        <w:t xml:space="preserve"> issue a</w:t>
      </w:r>
      <w:r w:rsidR="0011005B">
        <w:t xml:space="preserve"> Pre</w:t>
      </w:r>
      <w:r w:rsidR="0031798C">
        <w:t>-</w:t>
      </w:r>
      <w:r w:rsidR="0011005B">
        <w:t>proposal Conference</w:t>
      </w:r>
      <w:r w:rsidR="006256D0">
        <w:t xml:space="preserve"> Amendment if there are </w:t>
      </w:r>
      <w:r w:rsidR="0011005B">
        <w:t>no Contractors on the call/no topics discussed</w:t>
      </w:r>
      <w:r w:rsidR="006256D0">
        <w:t>.</w:t>
      </w:r>
    </w:p>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5AA4CE34" w14:textId="2B1EAEAB"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CTS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t xml:space="preserve">CTS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29512169" w:rsidR="0019190A" w:rsidRDefault="0019190A" w:rsidP="0019190A">
      <w:pPr>
        <w:ind w:left="720"/>
      </w:pPr>
      <w:r>
        <w:t xml:space="preserve">CTS shall conduct a </w:t>
      </w:r>
      <w:r w:rsidR="0031798C">
        <w:t>P</w:t>
      </w:r>
      <w:r>
        <w:t>re-</w:t>
      </w:r>
      <w:r w:rsidR="0031798C">
        <w:t>p</w:t>
      </w:r>
      <w:r>
        <w:t xml:space="preserve">roposal conference on the time and date provided in the Schedule, via a teleconference. Attendance </w:t>
      </w:r>
      <w:r w:rsidRPr="0031798C">
        <w:rPr>
          <w:u w:val="single"/>
        </w:rPr>
        <w:t>is not</w:t>
      </w:r>
      <w:r>
        <w:t xml:space="preserve"> mandatory</w:t>
      </w:r>
      <w:r w:rsidR="0031798C">
        <w:t>.</w:t>
      </w:r>
    </w:p>
    <w:p w14:paraId="113FDB84" w14:textId="3C4BDB9C" w:rsidR="0031798C" w:rsidRDefault="0019190A" w:rsidP="0031798C">
      <w:pPr>
        <w:pStyle w:val="ListParagraph"/>
        <w:spacing w:before="108"/>
        <w:ind w:right="288"/>
        <w:jc w:val="both"/>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31798C">
        <w:t xml:space="preserve">The pre-proposal conference shall end once all vendor concerns/questions have been answered and the discussion is completed, regardless of the scheduled end-time.  At the date </w:t>
      </w:r>
      <w:r w:rsidR="00752512">
        <w:t>provided</w:t>
      </w:r>
      <w:r w:rsidR="0031798C">
        <w:t xml:space="preserve"> in the Schedule above, CTS will issue a pre-proposal conference amendment which contains a link to the </w:t>
      </w:r>
      <w:r w:rsidR="0031798C">
        <w:lastRenderedPageBreak/>
        <w:t>recording.</w:t>
      </w:r>
    </w:p>
    <w:p w14:paraId="1B08B784" w14:textId="77777777" w:rsidR="0031798C" w:rsidRDefault="0031798C" w:rsidP="0011005B">
      <w:pPr>
        <w:pStyle w:val="ListParagraph"/>
        <w:spacing w:before="108"/>
        <w:ind w:right="288"/>
        <w:jc w:val="both"/>
      </w:pPr>
    </w:p>
    <w:p w14:paraId="3BF576DC" w14:textId="6427037A"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T</w:t>
      </w:r>
      <w:r w:rsidR="0011005B">
        <w:t xml:space="preserve">o eliminate confusion, CTS </w:t>
      </w:r>
      <w:r w:rsidR="0011005B" w:rsidRPr="0011005B">
        <w:rPr>
          <w:u w:val="single"/>
        </w:rPr>
        <w:t>will not</w:t>
      </w:r>
      <w:r w:rsidR="0011005B">
        <w:t xml:space="preserve"> issue a Preproposal Conference Amendment if there are no Contractors on the call/no topics discussed.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08C14266" w14:textId="3ECC6C7E" w:rsidR="001C15EB" w:rsidRDefault="001C15EB" w:rsidP="009D31CF">
      <w:pPr>
        <w:ind w:left="720"/>
      </w:pP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00FE0EDA">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8"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lastRenderedPageBreak/>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8"/>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9" w:name="_Hlk270062881"/>
            <w:r w:rsidRPr="00DF37B1">
              <w:rPr>
                <w:sz w:val="22"/>
                <w:szCs w:val="22"/>
              </w:rPr>
              <w:lastRenderedPageBreak/>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9"/>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547ABF98"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C178AD">
      <w:rPr>
        <w:sz w:val="20"/>
        <w:szCs w:val="20"/>
      </w:rPr>
      <w:t>24-RFQ-0</w:t>
    </w:r>
    <w:r w:rsidR="00AA1133">
      <w:rPr>
        <w:sz w:val="20"/>
        <w:szCs w:val="20"/>
      </w:rPr>
      <w:t>1</w:t>
    </w:r>
    <w:r w:rsidR="00D70EDD">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1D3"/>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3B6C"/>
    <w:rsid w:val="000765D5"/>
    <w:rsid w:val="00080C15"/>
    <w:rsid w:val="000825C7"/>
    <w:rsid w:val="0008542C"/>
    <w:rsid w:val="00086781"/>
    <w:rsid w:val="0008708B"/>
    <w:rsid w:val="0008740D"/>
    <w:rsid w:val="00087C78"/>
    <w:rsid w:val="00093D79"/>
    <w:rsid w:val="000A063D"/>
    <w:rsid w:val="000A158A"/>
    <w:rsid w:val="000A1AA8"/>
    <w:rsid w:val="000A1F38"/>
    <w:rsid w:val="000A7129"/>
    <w:rsid w:val="000B0A97"/>
    <w:rsid w:val="000B0D2E"/>
    <w:rsid w:val="000B202D"/>
    <w:rsid w:val="000B41F5"/>
    <w:rsid w:val="000B441C"/>
    <w:rsid w:val="000C07A7"/>
    <w:rsid w:val="000C0BF1"/>
    <w:rsid w:val="000C3901"/>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F090E"/>
    <w:rsid w:val="002F0FF7"/>
    <w:rsid w:val="002F1752"/>
    <w:rsid w:val="002F229B"/>
    <w:rsid w:val="002F561C"/>
    <w:rsid w:val="002F6739"/>
    <w:rsid w:val="002F69C5"/>
    <w:rsid w:val="002F7B47"/>
    <w:rsid w:val="002F7E84"/>
    <w:rsid w:val="003002C7"/>
    <w:rsid w:val="003019EC"/>
    <w:rsid w:val="00303F1C"/>
    <w:rsid w:val="003054AC"/>
    <w:rsid w:val="00305A37"/>
    <w:rsid w:val="003060B8"/>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046C9"/>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4B0"/>
    <w:rsid w:val="00792628"/>
    <w:rsid w:val="007950C6"/>
    <w:rsid w:val="007953E5"/>
    <w:rsid w:val="007A3C5E"/>
    <w:rsid w:val="007A57B5"/>
    <w:rsid w:val="007A638E"/>
    <w:rsid w:val="007A69FA"/>
    <w:rsid w:val="007B011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2389"/>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0D23"/>
    <w:rsid w:val="008D2D27"/>
    <w:rsid w:val="008D2DF9"/>
    <w:rsid w:val="008D4D5C"/>
    <w:rsid w:val="008E0F8E"/>
    <w:rsid w:val="008E21C4"/>
    <w:rsid w:val="008E3556"/>
    <w:rsid w:val="008E4803"/>
    <w:rsid w:val="008E5BED"/>
    <w:rsid w:val="008E6C46"/>
    <w:rsid w:val="008E6FC7"/>
    <w:rsid w:val="008E79CB"/>
    <w:rsid w:val="008F2128"/>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D4D40"/>
    <w:rsid w:val="009E036D"/>
    <w:rsid w:val="009E05D5"/>
    <w:rsid w:val="009E0969"/>
    <w:rsid w:val="009E1DC9"/>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627"/>
    <w:rsid w:val="00A07A51"/>
    <w:rsid w:val="00A102AA"/>
    <w:rsid w:val="00A10550"/>
    <w:rsid w:val="00A1168E"/>
    <w:rsid w:val="00A117C9"/>
    <w:rsid w:val="00A13317"/>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65F2"/>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649"/>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6D3"/>
    <w:rsid w:val="00D557CB"/>
    <w:rsid w:val="00D61092"/>
    <w:rsid w:val="00D62168"/>
    <w:rsid w:val="00D65C2C"/>
    <w:rsid w:val="00D674FB"/>
    <w:rsid w:val="00D70D8A"/>
    <w:rsid w:val="00D70EDD"/>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1718"/>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58ED"/>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717244">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GVjZTY2NWEtNjE0Yi00Yjk2LTlmNDktNDQ4NDQ2ZTc0MjUy%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1106443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6" ma:contentTypeDescription="Create a new document." ma:contentTypeScope="" ma:versionID="580a7d55f7b652627f01dd597bc80a3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d8fca64c72715b07cf0a982262bb460f"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55DF74C6-7C82-4E79-981B-3869DB58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30501</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2023-10-20T22:02:00Z</dcterms:created>
  <dcterms:modified xsi:type="dcterms:W3CDTF">2023-10-20T22:02:00Z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