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23C92" w14:textId="7B79F19E" w:rsidR="009B3DFC" w:rsidRDefault="00C15110" w:rsidP="009573AE">
      <w:pPr>
        <w:jc w:val="center"/>
        <w:rPr>
          <w:b/>
          <w:sz w:val="36"/>
          <w:szCs w:val="28"/>
        </w:rPr>
      </w:pPr>
      <w:bookmarkStart w:id="0" w:name="_Toc478573230"/>
      <w:r>
        <w:rPr>
          <w:b/>
          <w:sz w:val="36"/>
          <w:szCs w:val="28"/>
        </w:rPr>
        <w:t>Network</w:t>
      </w:r>
      <w:r w:rsidR="009B3DFC">
        <w:rPr>
          <w:b/>
          <w:sz w:val="36"/>
          <w:szCs w:val="28"/>
        </w:rPr>
        <w:t xml:space="preserve"> Services Agreement </w:t>
      </w:r>
      <w:r w:rsidR="00D06FAC">
        <w:rPr>
          <w:b/>
          <w:sz w:val="36"/>
          <w:szCs w:val="28"/>
        </w:rPr>
        <w:t>2</w:t>
      </w:r>
      <w:r w:rsidR="008A07E6">
        <w:rPr>
          <w:b/>
          <w:sz w:val="36"/>
          <w:szCs w:val="28"/>
        </w:rPr>
        <w:t>5</w:t>
      </w:r>
      <w:r w:rsidR="00D06FAC">
        <w:rPr>
          <w:b/>
          <w:sz w:val="36"/>
          <w:szCs w:val="28"/>
        </w:rPr>
        <w:t>-</w:t>
      </w:r>
      <w:r w:rsidR="002F79DA">
        <w:rPr>
          <w:b/>
          <w:sz w:val="36"/>
          <w:szCs w:val="28"/>
        </w:rPr>
        <w:t>XXX</w:t>
      </w:r>
    </w:p>
    <w:p w14:paraId="1029E0AB" w14:textId="2966C781" w:rsidR="009573AE" w:rsidRPr="00212435" w:rsidRDefault="009B3DFC" w:rsidP="009573AE">
      <w:pPr>
        <w:jc w:val="center"/>
        <w:rPr>
          <w:b/>
          <w:sz w:val="36"/>
          <w:szCs w:val="28"/>
        </w:rPr>
      </w:pPr>
      <w:r>
        <w:rPr>
          <w:b/>
          <w:sz w:val="36"/>
          <w:szCs w:val="28"/>
        </w:rPr>
        <w:t>Addendum 03 -</w:t>
      </w:r>
      <w:r w:rsidR="007853FA">
        <w:rPr>
          <w:b/>
          <w:sz w:val="36"/>
          <w:szCs w:val="28"/>
        </w:rPr>
        <w:t>PRI T-1</w:t>
      </w:r>
      <w:r w:rsidR="001B3B78">
        <w:rPr>
          <w:b/>
          <w:sz w:val="36"/>
          <w:szCs w:val="28"/>
        </w:rPr>
        <w:t xml:space="preserve"> </w:t>
      </w:r>
      <w:r w:rsidR="009573AE" w:rsidRPr="00212435">
        <w:rPr>
          <w:b/>
          <w:sz w:val="36"/>
          <w:szCs w:val="28"/>
        </w:rPr>
        <w:t xml:space="preserve">Voice Services </w:t>
      </w:r>
    </w:p>
    <w:p w14:paraId="319CB146" w14:textId="77777777" w:rsidR="00212435" w:rsidRPr="00212435" w:rsidRDefault="00212435" w:rsidP="009573AE">
      <w:pPr>
        <w:pStyle w:val="Heading1para"/>
        <w:ind w:left="0"/>
        <w:rPr>
          <w:b/>
          <w:sz w:val="24"/>
          <w:szCs w:val="24"/>
          <w:u w:val="single"/>
        </w:rPr>
      </w:pPr>
    </w:p>
    <w:p w14:paraId="6349AA43" w14:textId="2FD32EA9" w:rsidR="00212435" w:rsidRPr="005A721C" w:rsidRDefault="009573AE" w:rsidP="00212435">
      <w:pPr>
        <w:pStyle w:val="Heading1para"/>
        <w:ind w:left="0"/>
        <w:rPr>
          <w:sz w:val="24"/>
          <w:szCs w:val="24"/>
        </w:rPr>
      </w:pPr>
      <w:r w:rsidRPr="00212435">
        <w:rPr>
          <w:sz w:val="24"/>
          <w:szCs w:val="24"/>
        </w:rPr>
        <w:t xml:space="preserve">This Addendum sets forth the terms governing all </w:t>
      </w:r>
      <w:r w:rsidR="007853FA">
        <w:rPr>
          <w:sz w:val="24"/>
          <w:szCs w:val="24"/>
        </w:rPr>
        <w:t>PRI T-1</w:t>
      </w:r>
      <w:r w:rsidR="00212435">
        <w:rPr>
          <w:sz w:val="24"/>
          <w:szCs w:val="24"/>
        </w:rPr>
        <w:t xml:space="preserve">Voice </w:t>
      </w:r>
      <w:r w:rsidRPr="00212435">
        <w:rPr>
          <w:sz w:val="24"/>
          <w:szCs w:val="24"/>
        </w:rPr>
        <w:t xml:space="preserve">services provided pursuant to an awarded Statement of Work (SOW). The Contractor represents that the Services provided under such SOW shall be performed consistent with the following terms. This Addendum incorporates by reference the </w:t>
      </w:r>
      <w:r w:rsidR="00C15110">
        <w:rPr>
          <w:sz w:val="24"/>
          <w:szCs w:val="24"/>
        </w:rPr>
        <w:t>Network</w:t>
      </w:r>
      <w:r w:rsidRPr="00212435">
        <w:rPr>
          <w:sz w:val="24"/>
          <w:szCs w:val="24"/>
        </w:rPr>
        <w:t xml:space="preserve"> Service Agreement.</w:t>
      </w:r>
      <w:bookmarkStart w:id="1" w:name="_Toc467155053"/>
      <w:bookmarkStart w:id="2" w:name="_Toc477777612"/>
    </w:p>
    <w:p w14:paraId="1C15B265" w14:textId="77777777" w:rsidR="00212435" w:rsidRPr="007427FB" w:rsidRDefault="00212435" w:rsidP="00624326">
      <w:pPr>
        <w:pStyle w:val="Heading1"/>
        <w:numPr>
          <w:ilvl w:val="0"/>
          <w:numId w:val="14"/>
        </w:numPr>
      </w:pPr>
      <w:bookmarkStart w:id="3" w:name="_Toc478573229"/>
      <w:r w:rsidRPr="007427FB">
        <w:t>Definition of Terms</w:t>
      </w:r>
      <w:bookmarkEnd w:id="3"/>
    </w:p>
    <w:bookmarkEnd w:id="1"/>
    <w:bookmarkEnd w:id="2"/>
    <w:p w14:paraId="07698F4E" w14:textId="77777777" w:rsidR="009573AE" w:rsidRPr="00212435" w:rsidRDefault="00257B73" w:rsidP="000402AA">
      <w:pPr>
        <w:autoSpaceDE w:val="0"/>
        <w:autoSpaceDN w:val="0"/>
        <w:adjustRightInd w:val="0"/>
        <w:spacing w:before="120" w:after="120"/>
        <w:ind w:left="720"/>
        <w:rPr>
          <w:rFonts w:eastAsiaTheme="minorHAnsi"/>
          <w:b/>
          <w:szCs w:val="22"/>
        </w:rPr>
      </w:pPr>
      <w:r>
        <w:rPr>
          <w:rFonts w:eastAsiaTheme="minorHAnsi"/>
          <w:b/>
          <w:szCs w:val="22"/>
        </w:rPr>
        <w:t xml:space="preserve"> </w:t>
      </w:r>
      <w:r w:rsidR="00212435">
        <w:rPr>
          <w:rFonts w:eastAsiaTheme="minorHAnsi"/>
          <w:b/>
          <w:szCs w:val="22"/>
        </w:rPr>
        <w:t>“</w:t>
      </w:r>
      <w:r w:rsidR="009573AE" w:rsidRPr="00212435">
        <w:rPr>
          <w:rFonts w:eastAsiaTheme="minorHAnsi"/>
          <w:b/>
          <w:szCs w:val="22"/>
        </w:rPr>
        <w:t>Account</w:t>
      </w:r>
      <w:r w:rsidR="00212435">
        <w:rPr>
          <w:rFonts w:eastAsiaTheme="minorHAnsi"/>
          <w:b/>
          <w:szCs w:val="22"/>
        </w:rPr>
        <w:t>”</w:t>
      </w:r>
      <w:r w:rsidR="009573AE" w:rsidRPr="00212435">
        <w:rPr>
          <w:rFonts w:eastAsiaTheme="minorHAnsi"/>
          <w:b/>
          <w:szCs w:val="22"/>
        </w:rPr>
        <w:t xml:space="preserve"> </w:t>
      </w:r>
      <w:r w:rsidR="00212435">
        <w:rPr>
          <w:rFonts w:eastAsiaTheme="minorHAnsi"/>
          <w:szCs w:val="22"/>
        </w:rPr>
        <w:t>shall mean</w:t>
      </w:r>
      <w:r w:rsidR="009573AE" w:rsidRPr="00212435">
        <w:rPr>
          <w:rFonts w:eastAsiaTheme="minorHAnsi"/>
          <w:szCs w:val="22"/>
        </w:rPr>
        <w:t xml:space="preserve"> the set of billing information for a customer. Each</w:t>
      </w:r>
      <w:r w:rsidR="009573AE" w:rsidRPr="00212435">
        <w:rPr>
          <w:rFonts w:eastAsiaTheme="minorHAnsi"/>
          <w:b/>
          <w:szCs w:val="22"/>
        </w:rPr>
        <w:t xml:space="preserve"> </w:t>
      </w:r>
      <w:r w:rsidR="009573AE" w:rsidRPr="00212435">
        <w:rPr>
          <w:rFonts w:eastAsiaTheme="minorHAnsi"/>
          <w:szCs w:val="22"/>
        </w:rPr>
        <w:t>account is uniquely identified by the billing account number (BAN) located on either</w:t>
      </w:r>
      <w:r w:rsidR="009573AE" w:rsidRPr="00212435">
        <w:rPr>
          <w:rFonts w:eastAsiaTheme="minorHAnsi"/>
          <w:b/>
          <w:szCs w:val="22"/>
        </w:rPr>
        <w:t xml:space="preserve"> </w:t>
      </w:r>
      <w:r w:rsidR="009573AE" w:rsidRPr="00212435">
        <w:rPr>
          <w:rFonts w:eastAsiaTheme="minorHAnsi"/>
          <w:szCs w:val="22"/>
        </w:rPr>
        <w:t>the customer's bill or service record.</w:t>
      </w:r>
    </w:p>
    <w:p w14:paraId="77AB692B" w14:textId="77777777" w:rsidR="00212435" w:rsidRDefault="00212435" w:rsidP="000402AA">
      <w:pPr>
        <w:autoSpaceDE w:val="0"/>
        <w:autoSpaceDN w:val="0"/>
        <w:adjustRightInd w:val="0"/>
        <w:spacing w:before="120" w:after="120"/>
        <w:ind w:left="720"/>
        <w:rPr>
          <w:rFonts w:eastAsiaTheme="minorHAnsi"/>
          <w:szCs w:val="22"/>
        </w:rPr>
      </w:pPr>
      <w:r>
        <w:rPr>
          <w:rFonts w:eastAsiaTheme="minorHAnsi"/>
          <w:b/>
          <w:szCs w:val="22"/>
        </w:rPr>
        <w:t>“</w:t>
      </w:r>
      <w:r w:rsidR="009573AE" w:rsidRPr="00212435">
        <w:rPr>
          <w:rFonts w:eastAsiaTheme="minorHAnsi"/>
          <w:b/>
          <w:szCs w:val="22"/>
        </w:rPr>
        <w:t>Bit</w:t>
      </w:r>
      <w:r>
        <w:rPr>
          <w:rFonts w:eastAsiaTheme="minorHAnsi"/>
          <w:b/>
          <w:szCs w:val="22"/>
        </w:rPr>
        <w:t>”</w:t>
      </w:r>
      <w:r w:rsidR="009573AE" w:rsidRPr="00212435">
        <w:rPr>
          <w:rFonts w:eastAsiaTheme="minorHAnsi"/>
          <w:szCs w:val="22"/>
        </w:rPr>
        <w:t xml:space="preserve"> denotes the smallest unit of information in the binary system of notation.</w:t>
      </w:r>
    </w:p>
    <w:p w14:paraId="05EE7B8E" w14:textId="77777777" w:rsidR="00212435" w:rsidRDefault="00E954D5" w:rsidP="000402AA">
      <w:pPr>
        <w:autoSpaceDE w:val="0"/>
        <w:autoSpaceDN w:val="0"/>
        <w:adjustRightInd w:val="0"/>
        <w:spacing w:before="120" w:after="120"/>
        <w:ind w:left="720"/>
        <w:rPr>
          <w:rFonts w:eastAsiaTheme="minorHAnsi"/>
          <w:b/>
          <w:szCs w:val="22"/>
        </w:rPr>
      </w:pPr>
      <w:r w:rsidDel="00E954D5">
        <w:rPr>
          <w:rFonts w:eastAsiaTheme="minorHAnsi"/>
          <w:szCs w:val="22"/>
        </w:rPr>
        <w:t xml:space="preserve"> </w:t>
      </w:r>
      <w:r w:rsidR="00212435">
        <w:rPr>
          <w:rFonts w:eastAsiaTheme="minorHAnsi"/>
          <w:b/>
          <w:szCs w:val="22"/>
        </w:rPr>
        <w:t>“</w:t>
      </w:r>
      <w:r w:rsidR="009573AE" w:rsidRPr="00212435">
        <w:rPr>
          <w:rFonts w:eastAsiaTheme="minorHAnsi"/>
          <w:b/>
          <w:szCs w:val="22"/>
        </w:rPr>
        <w:t>Carrier or Common Carrier</w:t>
      </w:r>
      <w:r w:rsidR="00212435">
        <w:rPr>
          <w:rFonts w:eastAsiaTheme="minorHAnsi"/>
          <w:b/>
          <w:szCs w:val="22"/>
        </w:rPr>
        <w:t>”</w:t>
      </w:r>
      <w:r w:rsidR="009573AE" w:rsidRPr="00212435">
        <w:rPr>
          <w:rFonts w:eastAsiaTheme="minorHAnsi"/>
          <w:b/>
          <w:szCs w:val="22"/>
        </w:rPr>
        <w:t xml:space="preserve"> </w:t>
      </w:r>
      <w:r w:rsidR="009573AE" w:rsidRPr="00212435">
        <w:rPr>
          <w:rFonts w:eastAsiaTheme="minorHAnsi"/>
          <w:szCs w:val="22"/>
        </w:rPr>
        <w:t>See Interexchange Carrier.</w:t>
      </w:r>
    </w:p>
    <w:p w14:paraId="29069D7A" w14:textId="77777777" w:rsidR="00212435" w:rsidRDefault="00212435" w:rsidP="000402AA">
      <w:pPr>
        <w:autoSpaceDE w:val="0"/>
        <w:autoSpaceDN w:val="0"/>
        <w:adjustRightInd w:val="0"/>
        <w:spacing w:before="120" w:after="120"/>
        <w:ind w:left="720"/>
        <w:rPr>
          <w:rFonts w:eastAsiaTheme="minorHAnsi"/>
          <w:szCs w:val="22"/>
        </w:rPr>
      </w:pPr>
      <w:r>
        <w:rPr>
          <w:rFonts w:eastAsiaTheme="minorHAnsi"/>
          <w:b/>
          <w:szCs w:val="22"/>
        </w:rPr>
        <w:t>“</w:t>
      </w:r>
      <w:r w:rsidR="009573AE" w:rsidRPr="00212435">
        <w:rPr>
          <w:rFonts w:eastAsiaTheme="minorHAnsi"/>
          <w:b/>
          <w:szCs w:val="22"/>
        </w:rPr>
        <w:t>Central Office</w:t>
      </w:r>
      <w:r>
        <w:rPr>
          <w:rFonts w:eastAsiaTheme="minorHAnsi"/>
          <w:b/>
          <w:szCs w:val="22"/>
        </w:rPr>
        <w:t>”</w:t>
      </w:r>
      <w:r w:rsidR="009573AE" w:rsidRPr="00212435">
        <w:rPr>
          <w:rFonts w:eastAsiaTheme="minorHAnsi"/>
          <w:b/>
          <w:szCs w:val="22"/>
        </w:rPr>
        <w:t xml:space="preserve"> </w:t>
      </w:r>
      <w:r w:rsidR="003101E1">
        <w:rPr>
          <w:rFonts w:eastAsiaTheme="minorHAnsi"/>
          <w:szCs w:val="22"/>
        </w:rPr>
        <w:t>shall mean</w:t>
      </w:r>
      <w:r w:rsidR="009573AE" w:rsidRPr="00212435">
        <w:rPr>
          <w:rFonts w:eastAsiaTheme="minorHAnsi"/>
          <w:szCs w:val="22"/>
        </w:rPr>
        <w:t xml:space="preserve"> a local Telephone Company switching system where Telephone Exchange Service customer station loops are terminated for purposes of interconnection to each other and to trunks.</w:t>
      </w:r>
    </w:p>
    <w:p w14:paraId="7DD40F35" w14:textId="77777777" w:rsidR="00212435" w:rsidRDefault="00212435" w:rsidP="000402AA">
      <w:pPr>
        <w:autoSpaceDE w:val="0"/>
        <w:autoSpaceDN w:val="0"/>
        <w:adjustRightInd w:val="0"/>
        <w:spacing w:before="120" w:after="120"/>
        <w:ind w:left="720"/>
        <w:rPr>
          <w:rFonts w:eastAsiaTheme="minorHAnsi"/>
          <w:szCs w:val="22"/>
        </w:rPr>
      </w:pPr>
      <w:r>
        <w:rPr>
          <w:rFonts w:eastAsiaTheme="minorHAnsi"/>
          <w:b/>
          <w:szCs w:val="22"/>
        </w:rPr>
        <w:t>“</w:t>
      </w:r>
      <w:r w:rsidR="009573AE" w:rsidRPr="00212435">
        <w:rPr>
          <w:rFonts w:eastAsiaTheme="minorHAnsi"/>
          <w:b/>
          <w:szCs w:val="22"/>
        </w:rPr>
        <w:t>Channel(s)</w:t>
      </w:r>
      <w:r>
        <w:rPr>
          <w:rFonts w:eastAsiaTheme="minorHAnsi"/>
          <w:b/>
          <w:szCs w:val="22"/>
        </w:rPr>
        <w:t>”</w:t>
      </w:r>
      <w:r w:rsidR="009573AE" w:rsidRPr="00212435">
        <w:rPr>
          <w:rFonts w:eastAsiaTheme="minorHAnsi"/>
          <w:szCs w:val="22"/>
        </w:rPr>
        <w:t xml:space="preserve"> </w:t>
      </w:r>
      <w:r w:rsidR="003101E1">
        <w:rPr>
          <w:rFonts w:eastAsiaTheme="minorHAnsi"/>
          <w:szCs w:val="22"/>
        </w:rPr>
        <w:t>shall mean</w:t>
      </w:r>
      <w:r w:rsidR="003101E1" w:rsidRPr="00212435">
        <w:rPr>
          <w:rFonts w:eastAsiaTheme="minorHAnsi"/>
          <w:szCs w:val="22"/>
        </w:rPr>
        <w:t xml:space="preserve"> </w:t>
      </w:r>
      <w:r w:rsidR="009573AE" w:rsidRPr="00212435">
        <w:rPr>
          <w:rFonts w:eastAsiaTheme="minorHAnsi"/>
          <w:szCs w:val="22"/>
        </w:rPr>
        <w:t>an electrical or photonic, in the case of fiber optic based transmission systems, communications path between two or more points of termination.</w:t>
      </w:r>
    </w:p>
    <w:p w14:paraId="4B5865CE" w14:textId="77777777" w:rsidR="00212435" w:rsidRPr="000402AA" w:rsidRDefault="00212435" w:rsidP="000402AA">
      <w:pPr>
        <w:autoSpaceDE w:val="0"/>
        <w:autoSpaceDN w:val="0"/>
        <w:adjustRightInd w:val="0"/>
        <w:spacing w:before="120" w:after="120"/>
        <w:ind w:left="720"/>
        <w:rPr>
          <w:rFonts w:eastAsiaTheme="minorHAnsi"/>
          <w:b/>
          <w:szCs w:val="22"/>
        </w:rPr>
      </w:pPr>
      <w:r>
        <w:rPr>
          <w:rFonts w:eastAsiaTheme="minorHAnsi"/>
          <w:b/>
          <w:szCs w:val="22"/>
        </w:rPr>
        <w:t>“</w:t>
      </w:r>
      <w:r w:rsidR="009573AE" w:rsidRPr="00212435">
        <w:rPr>
          <w:rFonts w:eastAsiaTheme="minorHAnsi"/>
          <w:b/>
          <w:szCs w:val="22"/>
        </w:rPr>
        <w:t>Channelize</w:t>
      </w:r>
      <w:r>
        <w:rPr>
          <w:rFonts w:eastAsiaTheme="minorHAnsi"/>
          <w:b/>
          <w:szCs w:val="22"/>
        </w:rPr>
        <w:t>”</w:t>
      </w:r>
      <w:r w:rsidR="009573AE" w:rsidRPr="000402AA">
        <w:rPr>
          <w:rFonts w:eastAsiaTheme="minorHAnsi"/>
          <w:b/>
          <w:szCs w:val="22"/>
        </w:rPr>
        <w:t xml:space="preserve"> </w:t>
      </w:r>
      <w:r w:rsidR="003101E1" w:rsidRPr="000402AA">
        <w:rPr>
          <w:rFonts w:eastAsiaTheme="minorHAnsi"/>
          <w:szCs w:val="22"/>
        </w:rPr>
        <w:t>shall mean</w:t>
      </w:r>
      <w:r w:rsidR="003101E1" w:rsidRPr="000402AA" w:rsidDel="003101E1">
        <w:rPr>
          <w:rFonts w:eastAsiaTheme="minorHAnsi"/>
          <w:szCs w:val="22"/>
        </w:rPr>
        <w:t xml:space="preserve"> </w:t>
      </w:r>
      <w:r w:rsidR="009573AE" w:rsidRPr="000402AA">
        <w:rPr>
          <w:rFonts w:eastAsiaTheme="minorHAnsi"/>
          <w:szCs w:val="22"/>
        </w:rPr>
        <w:t>the process of multiplexing/de-multiplexing wider bandwidth or higher speed channels into narrower bandwidth or lower speed channels.</w:t>
      </w:r>
    </w:p>
    <w:p w14:paraId="19466BED" w14:textId="77777777" w:rsidR="00212435" w:rsidRPr="000402AA" w:rsidRDefault="00212435" w:rsidP="000402AA">
      <w:pPr>
        <w:autoSpaceDE w:val="0"/>
        <w:autoSpaceDN w:val="0"/>
        <w:adjustRightInd w:val="0"/>
        <w:spacing w:before="120" w:after="120"/>
        <w:ind w:left="720"/>
        <w:rPr>
          <w:rFonts w:eastAsiaTheme="minorHAnsi"/>
          <w:b/>
          <w:szCs w:val="22"/>
        </w:rPr>
      </w:pPr>
      <w:r w:rsidRPr="000402AA">
        <w:rPr>
          <w:rFonts w:eastAsiaTheme="minorHAnsi"/>
          <w:b/>
          <w:szCs w:val="22"/>
        </w:rPr>
        <w:t>“</w:t>
      </w:r>
      <w:r w:rsidR="009573AE" w:rsidRPr="000402AA">
        <w:rPr>
          <w:rFonts w:eastAsiaTheme="minorHAnsi"/>
          <w:b/>
          <w:szCs w:val="22"/>
        </w:rPr>
        <w:t>Collect calling restriction</w:t>
      </w:r>
      <w:r w:rsidRPr="000402AA">
        <w:rPr>
          <w:rFonts w:eastAsiaTheme="minorHAnsi"/>
          <w:b/>
          <w:szCs w:val="22"/>
        </w:rPr>
        <w:t>”</w:t>
      </w:r>
      <w:r w:rsidR="009573AE" w:rsidRPr="000402AA">
        <w:rPr>
          <w:rFonts w:eastAsiaTheme="minorHAnsi"/>
          <w:szCs w:val="22"/>
        </w:rPr>
        <w:t xml:space="preserve"> </w:t>
      </w:r>
      <w:r w:rsidR="000402AA">
        <w:rPr>
          <w:rFonts w:eastAsiaTheme="minorHAnsi"/>
          <w:szCs w:val="22"/>
        </w:rPr>
        <w:t>s</w:t>
      </w:r>
      <w:r w:rsidR="009573AE" w:rsidRPr="000402AA">
        <w:rPr>
          <w:rFonts w:eastAsiaTheme="minorHAnsi"/>
          <w:szCs w:val="22"/>
        </w:rPr>
        <w:t>hall mean a function that prevents users from accepting collect calls</w:t>
      </w:r>
      <w:r w:rsidR="000402AA" w:rsidRPr="000402AA">
        <w:rPr>
          <w:rFonts w:eastAsiaTheme="minorHAnsi"/>
          <w:szCs w:val="22"/>
        </w:rPr>
        <w:t>.</w:t>
      </w:r>
    </w:p>
    <w:p w14:paraId="3DA71FA4" w14:textId="77777777" w:rsidR="00212435" w:rsidRPr="000402AA" w:rsidRDefault="00212435" w:rsidP="000402AA">
      <w:pPr>
        <w:autoSpaceDE w:val="0"/>
        <w:autoSpaceDN w:val="0"/>
        <w:adjustRightInd w:val="0"/>
        <w:spacing w:before="120" w:after="120"/>
        <w:ind w:left="720"/>
        <w:rPr>
          <w:rFonts w:eastAsiaTheme="minorHAnsi"/>
          <w:szCs w:val="22"/>
        </w:rPr>
      </w:pPr>
      <w:r>
        <w:rPr>
          <w:rFonts w:eastAsiaTheme="minorHAnsi"/>
          <w:b/>
          <w:szCs w:val="22"/>
        </w:rPr>
        <w:t>“</w:t>
      </w:r>
      <w:r w:rsidR="009573AE" w:rsidRPr="00212435">
        <w:rPr>
          <w:rFonts w:eastAsiaTheme="minorHAnsi"/>
          <w:b/>
          <w:szCs w:val="22"/>
        </w:rPr>
        <w:t>Collocation-POT</w:t>
      </w:r>
      <w:r>
        <w:rPr>
          <w:rFonts w:eastAsiaTheme="minorHAnsi"/>
          <w:b/>
          <w:szCs w:val="22"/>
        </w:rPr>
        <w:t>”</w:t>
      </w:r>
      <w:r w:rsidR="009573AE" w:rsidRPr="00212435">
        <w:rPr>
          <w:rFonts w:eastAsiaTheme="minorHAnsi"/>
          <w:b/>
          <w:szCs w:val="22"/>
        </w:rPr>
        <w:t xml:space="preserve"> </w:t>
      </w:r>
      <w:r w:rsidR="000402AA" w:rsidRPr="000402AA">
        <w:rPr>
          <w:rFonts w:eastAsiaTheme="minorHAnsi"/>
          <w:szCs w:val="22"/>
        </w:rPr>
        <w:t>shall mean t</w:t>
      </w:r>
      <w:r w:rsidR="009573AE" w:rsidRPr="000402AA">
        <w:rPr>
          <w:rFonts w:eastAsiaTheme="minorHAnsi"/>
          <w:szCs w:val="22"/>
        </w:rPr>
        <w:t>he physical point of termination in a Cent</w:t>
      </w:r>
      <w:r w:rsidR="00612D18" w:rsidRPr="000402AA">
        <w:rPr>
          <w:rFonts w:eastAsiaTheme="minorHAnsi"/>
          <w:szCs w:val="22"/>
        </w:rPr>
        <w:t xml:space="preserve">ral Office Building, specified </w:t>
      </w:r>
      <w:r w:rsidR="009573AE" w:rsidRPr="000402AA">
        <w:rPr>
          <w:rFonts w:eastAsiaTheme="minorHAnsi"/>
          <w:szCs w:val="22"/>
        </w:rPr>
        <w:t>by the Company, between Other Tariffed Services and Customer Transport Facilities.</w:t>
      </w:r>
    </w:p>
    <w:p w14:paraId="4F75A76D" w14:textId="77777777" w:rsidR="00212435" w:rsidRDefault="00212435" w:rsidP="000402AA">
      <w:pPr>
        <w:autoSpaceDE w:val="0"/>
        <w:autoSpaceDN w:val="0"/>
        <w:adjustRightInd w:val="0"/>
        <w:spacing w:before="120" w:after="120"/>
        <w:ind w:left="720"/>
        <w:rPr>
          <w:rFonts w:eastAsiaTheme="minorHAnsi"/>
          <w:szCs w:val="22"/>
        </w:rPr>
      </w:pPr>
      <w:r>
        <w:rPr>
          <w:rFonts w:eastAsiaTheme="minorHAnsi"/>
          <w:b/>
          <w:szCs w:val="22"/>
        </w:rPr>
        <w:t>“</w:t>
      </w:r>
      <w:r w:rsidR="009573AE" w:rsidRPr="00212435">
        <w:rPr>
          <w:rFonts w:eastAsiaTheme="minorHAnsi"/>
          <w:b/>
          <w:szCs w:val="22"/>
        </w:rPr>
        <w:t>Customer Transport Facilities</w:t>
      </w:r>
      <w:r>
        <w:rPr>
          <w:rFonts w:eastAsiaTheme="minorHAnsi"/>
          <w:b/>
          <w:szCs w:val="22"/>
        </w:rPr>
        <w:t>”</w:t>
      </w:r>
      <w:r w:rsidR="00655431">
        <w:rPr>
          <w:rFonts w:eastAsiaTheme="minorHAnsi"/>
          <w:b/>
          <w:szCs w:val="22"/>
        </w:rPr>
        <w:t xml:space="preserve"> </w:t>
      </w:r>
      <w:r w:rsidR="003101E1">
        <w:rPr>
          <w:rFonts w:eastAsiaTheme="minorHAnsi"/>
          <w:szCs w:val="22"/>
        </w:rPr>
        <w:t>shall mean</w:t>
      </w:r>
      <w:r w:rsidR="003101E1" w:rsidRPr="00212435">
        <w:rPr>
          <w:rFonts w:eastAsiaTheme="minorHAnsi"/>
          <w:szCs w:val="22"/>
        </w:rPr>
        <w:t xml:space="preserve"> </w:t>
      </w:r>
      <w:r w:rsidR="003101E1">
        <w:rPr>
          <w:rFonts w:eastAsiaTheme="minorHAnsi"/>
          <w:szCs w:val="22"/>
        </w:rPr>
        <w:t>f</w:t>
      </w:r>
      <w:r w:rsidR="009573AE" w:rsidRPr="00212435">
        <w:rPr>
          <w:rFonts w:eastAsiaTheme="minorHAnsi"/>
          <w:szCs w:val="22"/>
        </w:rPr>
        <w:t>iber optic transport and distribution cables and associated transmission equipment required for the operation thereof that are provided, operated, maintained and owned or controlled by the Customer.</w:t>
      </w:r>
    </w:p>
    <w:p w14:paraId="6FA4DA0F" w14:textId="77777777" w:rsidR="00212435" w:rsidRDefault="00212435" w:rsidP="000402AA">
      <w:pPr>
        <w:spacing w:before="120" w:after="120"/>
        <w:ind w:left="720"/>
        <w:rPr>
          <w:szCs w:val="22"/>
        </w:rPr>
      </w:pPr>
      <w:r>
        <w:rPr>
          <w:b/>
          <w:szCs w:val="22"/>
        </w:rPr>
        <w:t>“</w:t>
      </w:r>
      <w:r w:rsidR="009573AE" w:rsidRPr="00212435">
        <w:rPr>
          <w:b/>
          <w:szCs w:val="22"/>
        </w:rPr>
        <w:t>Delivery Date</w:t>
      </w:r>
      <w:r>
        <w:rPr>
          <w:b/>
          <w:szCs w:val="22"/>
        </w:rPr>
        <w:t>”</w:t>
      </w:r>
      <w:r w:rsidR="009573AE" w:rsidRPr="00212435">
        <w:rPr>
          <w:b/>
          <w:szCs w:val="22"/>
        </w:rPr>
        <w:t xml:space="preserve"> </w:t>
      </w:r>
      <w:r w:rsidR="009573AE" w:rsidRPr="00212435">
        <w:rPr>
          <w:szCs w:val="22"/>
        </w:rPr>
        <w:t xml:space="preserve">shall mean the date by which the ordered </w:t>
      </w:r>
      <w:r w:rsidR="009573AE" w:rsidRPr="00212435">
        <w:rPr>
          <w:iCs/>
          <w:szCs w:val="22"/>
        </w:rPr>
        <w:t>Products</w:t>
      </w:r>
      <w:r w:rsidR="009573AE" w:rsidRPr="00212435">
        <w:rPr>
          <w:i/>
          <w:iCs/>
          <w:szCs w:val="22"/>
        </w:rPr>
        <w:t xml:space="preserve"> </w:t>
      </w:r>
      <w:r w:rsidR="009573AE" w:rsidRPr="00212435">
        <w:rPr>
          <w:szCs w:val="22"/>
        </w:rPr>
        <w:t>must be delivered.</w:t>
      </w:r>
    </w:p>
    <w:p w14:paraId="224E6D02" w14:textId="49C9BFE2" w:rsidR="00212435" w:rsidRPr="000402AA" w:rsidRDefault="00212435" w:rsidP="000402AA">
      <w:pPr>
        <w:autoSpaceDE w:val="0"/>
        <w:autoSpaceDN w:val="0"/>
        <w:adjustRightInd w:val="0"/>
        <w:spacing w:before="120" w:after="120"/>
        <w:ind w:left="720"/>
        <w:rPr>
          <w:rFonts w:eastAsiaTheme="minorHAnsi"/>
          <w:szCs w:val="22"/>
        </w:rPr>
      </w:pPr>
      <w:r w:rsidRPr="000402AA">
        <w:rPr>
          <w:rFonts w:eastAsiaTheme="minorHAnsi"/>
          <w:szCs w:val="22"/>
        </w:rPr>
        <w:t>“</w:t>
      </w:r>
      <w:r w:rsidR="009573AE" w:rsidRPr="000402AA">
        <w:rPr>
          <w:rFonts w:eastAsiaTheme="minorHAnsi"/>
          <w:b/>
          <w:szCs w:val="22"/>
        </w:rPr>
        <w:t>DID Numbers</w:t>
      </w:r>
      <w:r w:rsidRPr="000402AA">
        <w:rPr>
          <w:rFonts w:eastAsiaTheme="minorHAnsi"/>
          <w:szCs w:val="22"/>
        </w:rPr>
        <w:t>”</w:t>
      </w:r>
      <w:r w:rsidR="009573AE" w:rsidRPr="000402AA">
        <w:rPr>
          <w:rFonts w:eastAsiaTheme="minorHAnsi"/>
          <w:szCs w:val="22"/>
        </w:rPr>
        <w:t xml:space="preserve"> shall mean Direct Inward dial numbers</w:t>
      </w:r>
      <w:r w:rsidR="007433EF" w:rsidRPr="000402AA">
        <w:rPr>
          <w:rFonts w:eastAsiaTheme="minorHAnsi"/>
          <w:szCs w:val="22"/>
        </w:rPr>
        <w:t xml:space="preserve"> capable of being passed across a </w:t>
      </w:r>
      <w:proofErr w:type="spellStart"/>
      <w:r w:rsidR="007433EF" w:rsidRPr="000402AA">
        <w:rPr>
          <w:rFonts w:eastAsiaTheme="minorHAnsi"/>
          <w:szCs w:val="22"/>
        </w:rPr>
        <w:t>trunking</w:t>
      </w:r>
      <w:proofErr w:type="spellEnd"/>
      <w:r w:rsidR="007433EF" w:rsidRPr="000402AA">
        <w:rPr>
          <w:rFonts w:eastAsiaTheme="minorHAnsi"/>
          <w:szCs w:val="22"/>
        </w:rPr>
        <w:t xml:space="preserve"> facility</w:t>
      </w:r>
      <w:r w:rsidR="009573AE" w:rsidRPr="000402AA">
        <w:rPr>
          <w:rFonts w:eastAsiaTheme="minorHAnsi"/>
          <w:szCs w:val="22"/>
        </w:rPr>
        <w:t>.</w:t>
      </w:r>
      <w:r w:rsidR="00931520" w:rsidRPr="000402AA" w:rsidDel="00931520">
        <w:rPr>
          <w:rFonts w:eastAsiaTheme="minorHAnsi"/>
          <w:szCs w:val="22"/>
        </w:rPr>
        <w:t xml:space="preserve">  </w:t>
      </w:r>
      <w:r w:rsidRPr="000402AA">
        <w:rPr>
          <w:rFonts w:eastAsiaTheme="minorHAnsi"/>
          <w:szCs w:val="22"/>
        </w:rPr>
        <w:t>“</w:t>
      </w:r>
      <w:r w:rsidR="009573AE" w:rsidRPr="000402AA">
        <w:rPr>
          <w:rFonts w:eastAsiaTheme="minorHAnsi"/>
          <w:szCs w:val="22"/>
        </w:rPr>
        <w:t xml:space="preserve">E911 Database/ALI capability (for ISDN </w:t>
      </w:r>
      <w:r w:rsidR="009B3DFC">
        <w:rPr>
          <w:rFonts w:eastAsiaTheme="minorHAnsi"/>
          <w:szCs w:val="22"/>
        </w:rPr>
        <w:t>T-1</w:t>
      </w:r>
      <w:r w:rsidR="009573AE" w:rsidRPr="000402AA">
        <w:rPr>
          <w:rFonts w:eastAsiaTheme="minorHAnsi"/>
          <w:szCs w:val="22"/>
        </w:rPr>
        <w:t>s only)</w:t>
      </w:r>
      <w:r w:rsidRPr="000402AA">
        <w:rPr>
          <w:rFonts w:eastAsiaTheme="minorHAnsi"/>
          <w:szCs w:val="22"/>
        </w:rPr>
        <w:t>”</w:t>
      </w:r>
      <w:r w:rsidR="009573AE" w:rsidRPr="000402AA">
        <w:rPr>
          <w:rFonts w:eastAsiaTheme="minorHAnsi"/>
          <w:szCs w:val="22"/>
        </w:rPr>
        <w:t xml:space="preserve"> </w:t>
      </w:r>
      <w:r w:rsidR="003101E1">
        <w:rPr>
          <w:rFonts w:eastAsiaTheme="minorHAnsi"/>
          <w:szCs w:val="22"/>
        </w:rPr>
        <w:t>shall mean</w:t>
      </w:r>
      <w:r w:rsidR="009573AE" w:rsidRPr="000402AA">
        <w:rPr>
          <w:rFonts w:eastAsiaTheme="minorHAnsi"/>
          <w:szCs w:val="22"/>
        </w:rPr>
        <w:t xml:space="preserve"> a function that provides location data to the Public Safety Answering Position.</w:t>
      </w:r>
    </w:p>
    <w:p w14:paraId="35B8AD6F" w14:textId="77777777" w:rsidR="00212435" w:rsidRPr="000402AA" w:rsidRDefault="00212435" w:rsidP="000402AA">
      <w:pPr>
        <w:autoSpaceDE w:val="0"/>
        <w:autoSpaceDN w:val="0"/>
        <w:adjustRightInd w:val="0"/>
        <w:spacing w:before="120" w:after="120"/>
        <w:ind w:left="720"/>
        <w:rPr>
          <w:rFonts w:eastAsiaTheme="minorHAnsi"/>
          <w:szCs w:val="22"/>
        </w:rPr>
      </w:pPr>
      <w:r w:rsidRPr="000402AA">
        <w:rPr>
          <w:rFonts w:eastAsiaTheme="minorHAnsi"/>
          <w:b/>
          <w:szCs w:val="22"/>
        </w:rPr>
        <w:t>“</w:t>
      </w:r>
      <w:r w:rsidR="009573AE" w:rsidRPr="000402AA">
        <w:rPr>
          <w:rFonts w:eastAsiaTheme="minorHAnsi"/>
          <w:b/>
          <w:szCs w:val="22"/>
        </w:rPr>
        <w:t>Interexchange Carrier</w:t>
      </w:r>
      <w:r w:rsidRPr="000402AA">
        <w:rPr>
          <w:rFonts w:eastAsiaTheme="minorHAnsi"/>
          <w:b/>
          <w:szCs w:val="22"/>
        </w:rPr>
        <w:t>”</w:t>
      </w:r>
      <w:r w:rsidR="009573AE" w:rsidRPr="000402AA">
        <w:rPr>
          <w:rFonts w:eastAsiaTheme="minorHAnsi"/>
          <w:szCs w:val="22"/>
        </w:rPr>
        <w:t xml:space="preserve"> (IC) or </w:t>
      </w:r>
      <w:r w:rsidRPr="000402AA">
        <w:rPr>
          <w:rFonts w:eastAsiaTheme="minorHAnsi"/>
          <w:szCs w:val="22"/>
        </w:rPr>
        <w:t>“</w:t>
      </w:r>
      <w:r w:rsidR="009573AE" w:rsidRPr="000402AA">
        <w:rPr>
          <w:rFonts w:eastAsiaTheme="minorHAnsi"/>
          <w:szCs w:val="22"/>
        </w:rPr>
        <w:t>Interexchange Common Carrier</w:t>
      </w:r>
      <w:r w:rsidRPr="000402AA">
        <w:rPr>
          <w:rFonts w:eastAsiaTheme="minorHAnsi"/>
          <w:szCs w:val="22"/>
        </w:rPr>
        <w:t>”</w:t>
      </w:r>
      <w:r w:rsidR="009573AE" w:rsidRPr="000402AA">
        <w:rPr>
          <w:rFonts w:eastAsiaTheme="minorHAnsi"/>
          <w:szCs w:val="22"/>
        </w:rPr>
        <w:t xml:space="preserve"> </w:t>
      </w:r>
      <w:r w:rsidR="003101E1" w:rsidRPr="000402AA">
        <w:rPr>
          <w:rFonts w:eastAsiaTheme="minorHAnsi"/>
          <w:szCs w:val="22"/>
        </w:rPr>
        <w:t>shall mean</w:t>
      </w:r>
      <w:r w:rsidR="003101E1" w:rsidRPr="000402AA" w:rsidDel="003101E1">
        <w:rPr>
          <w:rFonts w:eastAsiaTheme="minorHAnsi"/>
          <w:szCs w:val="22"/>
        </w:rPr>
        <w:t xml:space="preserve"> </w:t>
      </w:r>
      <w:r w:rsidR="009573AE" w:rsidRPr="000402AA">
        <w:rPr>
          <w:rFonts w:eastAsiaTheme="minorHAnsi"/>
          <w:szCs w:val="22"/>
        </w:rPr>
        <w:t>any individual, partnership, association, joint-stock company, trust, governmental entity or corporation engaged for hire in interstate or foreign communication by wire or radio, between two or more exchanges.</w:t>
      </w:r>
    </w:p>
    <w:p w14:paraId="08E24EA6" w14:textId="77777777" w:rsidR="00212435" w:rsidRDefault="00212435" w:rsidP="000402AA">
      <w:pPr>
        <w:autoSpaceDE w:val="0"/>
        <w:autoSpaceDN w:val="0"/>
        <w:adjustRightInd w:val="0"/>
        <w:spacing w:before="120" w:after="120"/>
        <w:ind w:left="720"/>
        <w:rPr>
          <w:rFonts w:eastAsiaTheme="minorHAnsi"/>
          <w:szCs w:val="22"/>
        </w:rPr>
      </w:pPr>
      <w:r w:rsidRPr="000402AA">
        <w:rPr>
          <w:rFonts w:eastAsiaTheme="minorHAnsi"/>
          <w:b/>
          <w:szCs w:val="22"/>
        </w:rPr>
        <w:t>“</w:t>
      </w:r>
      <w:r w:rsidR="009573AE" w:rsidRPr="000402AA">
        <w:rPr>
          <w:rFonts w:eastAsiaTheme="minorHAnsi"/>
          <w:b/>
          <w:szCs w:val="22"/>
        </w:rPr>
        <w:t>Interstate Communications</w:t>
      </w:r>
      <w:r w:rsidRPr="000402AA">
        <w:rPr>
          <w:rFonts w:eastAsiaTheme="minorHAnsi"/>
          <w:b/>
          <w:szCs w:val="22"/>
        </w:rPr>
        <w:t>”</w:t>
      </w:r>
      <w:r w:rsidR="009573AE" w:rsidRPr="00212435">
        <w:rPr>
          <w:rFonts w:eastAsiaTheme="minorHAnsi"/>
          <w:szCs w:val="22"/>
        </w:rPr>
        <w:t xml:space="preserve"> </w:t>
      </w:r>
      <w:r w:rsidR="003101E1">
        <w:rPr>
          <w:rFonts w:eastAsiaTheme="minorHAnsi"/>
          <w:szCs w:val="22"/>
        </w:rPr>
        <w:t>shall mean</w:t>
      </w:r>
      <w:r w:rsidR="003101E1" w:rsidRPr="00212435" w:rsidDel="003101E1">
        <w:rPr>
          <w:rFonts w:eastAsiaTheme="minorHAnsi"/>
          <w:szCs w:val="22"/>
        </w:rPr>
        <w:t xml:space="preserve"> </w:t>
      </w:r>
      <w:r w:rsidR="009573AE" w:rsidRPr="00212435">
        <w:rPr>
          <w:rFonts w:eastAsiaTheme="minorHAnsi"/>
          <w:szCs w:val="22"/>
        </w:rPr>
        <w:t>both interstate and foreign communications.</w:t>
      </w:r>
    </w:p>
    <w:p w14:paraId="6CEFE92E" w14:textId="77777777" w:rsidR="009573AE" w:rsidRPr="00212435" w:rsidRDefault="00212435" w:rsidP="000402AA">
      <w:pPr>
        <w:autoSpaceDE w:val="0"/>
        <w:autoSpaceDN w:val="0"/>
        <w:adjustRightInd w:val="0"/>
        <w:spacing w:before="120" w:after="120"/>
        <w:ind w:left="720"/>
        <w:rPr>
          <w:rFonts w:eastAsiaTheme="minorHAnsi"/>
          <w:szCs w:val="22"/>
        </w:rPr>
      </w:pPr>
      <w:r>
        <w:rPr>
          <w:rFonts w:eastAsiaTheme="minorHAnsi"/>
          <w:b/>
          <w:szCs w:val="22"/>
        </w:rPr>
        <w:t>“</w:t>
      </w:r>
      <w:r w:rsidR="009573AE" w:rsidRPr="00212435">
        <w:rPr>
          <w:rFonts w:eastAsiaTheme="minorHAnsi"/>
          <w:b/>
          <w:szCs w:val="22"/>
        </w:rPr>
        <w:t>Intrastate Communications</w:t>
      </w:r>
      <w:r>
        <w:rPr>
          <w:rFonts w:eastAsiaTheme="minorHAnsi"/>
          <w:b/>
          <w:szCs w:val="22"/>
        </w:rPr>
        <w:t>”</w:t>
      </w:r>
      <w:r w:rsidR="009573AE" w:rsidRPr="00212435">
        <w:rPr>
          <w:rFonts w:eastAsiaTheme="minorHAnsi"/>
          <w:szCs w:val="22"/>
        </w:rPr>
        <w:t xml:space="preserve"> </w:t>
      </w:r>
      <w:r w:rsidR="003101E1">
        <w:rPr>
          <w:rFonts w:eastAsiaTheme="minorHAnsi"/>
          <w:szCs w:val="22"/>
        </w:rPr>
        <w:t>shall mean</w:t>
      </w:r>
      <w:r w:rsidR="003101E1" w:rsidRPr="00212435" w:rsidDel="003101E1">
        <w:rPr>
          <w:rFonts w:eastAsiaTheme="minorHAnsi"/>
          <w:szCs w:val="22"/>
        </w:rPr>
        <w:t xml:space="preserve"> </w:t>
      </w:r>
      <w:r w:rsidR="009573AE" w:rsidRPr="00212435">
        <w:rPr>
          <w:rFonts w:eastAsiaTheme="minorHAnsi"/>
          <w:szCs w:val="22"/>
        </w:rPr>
        <w:t>any communications within a state subject to oversight by a state regulatory commission as provided by the laws of the state involved.</w:t>
      </w:r>
    </w:p>
    <w:p w14:paraId="5AFC4AA0" w14:textId="7F633941" w:rsidR="007B40F9" w:rsidRDefault="00212435" w:rsidP="00E72EBC">
      <w:pPr>
        <w:autoSpaceDE w:val="0"/>
        <w:autoSpaceDN w:val="0"/>
        <w:adjustRightInd w:val="0"/>
        <w:spacing w:before="120" w:after="120"/>
        <w:ind w:left="720"/>
        <w:rPr>
          <w:b/>
          <w:spacing w:val="-2"/>
          <w:szCs w:val="22"/>
        </w:rPr>
      </w:pPr>
      <w:r>
        <w:rPr>
          <w:rFonts w:eastAsiaTheme="minorHAnsi"/>
          <w:b/>
          <w:szCs w:val="22"/>
        </w:rPr>
        <w:t>“</w:t>
      </w:r>
      <w:r w:rsidR="009573AE" w:rsidRPr="00212435">
        <w:rPr>
          <w:rFonts w:eastAsiaTheme="minorHAnsi"/>
          <w:b/>
          <w:szCs w:val="22"/>
        </w:rPr>
        <w:t>Local Access and Transport Area</w:t>
      </w:r>
      <w:r w:rsidR="00E72EBC">
        <w:rPr>
          <w:rFonts w:eastAsiaTheme="minorHAnsi"/>
          <w:b/>
          <w:szCs w:val="22"/>
        </w:rPr>
        <w:t xml:space="preserve"> </w:t>
      </w:r>
      <w:r w:rsidR="00E97E7C">
        <w:rPr>
          <w:rFonts w:eastAsiaTheme="minorHAnsi"/>
          <w:b/>
          <w:szCs w:val="22"/>
        </w:rPr>
        <w:t>(LATA)</w:t>
      </w:r>
      <w:r>
        <w:rPr>
          <w:rFonts w:eastAsiaTheme="minorHAnsi"/>
          <w:b/>
          <w:szCs w:val="22"/>
        </w:rPr>
        <w:t>”</w:t>
      </w:r>
      <w:r w:rsidR="009573AE" w:rsidRPr="00212435">
        <w:rPr>
          <w:rFonts w:eastAsiaTheme="minorHAnsi"/>
          <w:szCs w:val="22"/>
        </w:rPr>
        <w:t xml:space="preserve"> </w:t>
      </w:r>
      <w:r w:rsidR="003101E1">
        <w:rPr>
          <w:rFonts w:eastAsiaTheme="minorHAnsi"/>
          <w:szCs w:val="22"/>
        </w:rPr>
        <w:t>shall mean</w:t>
      </w:r>
      <w:r w:rsidR="003101E1" w:rsidRPr="00212435" w:rsidDel="003101E1">
        <w:rPr>
          <w:rFonts w:eastAsiaTheme="minorHAnsi"/>
          <w:szCs w:val="22"/>
        </w:rPr>
        <w:t xml:space="preserve"> </w:t>
      </w:r>
      <w:r w:rsidR="009573AE" w:rsidRPr="00212435">
        <w:rPr>
          <w:rFonts w:eastAsiaTheme="minorHAnsi"/>
          <w:szCs w:val="22"/>
        </w:rPr>
        <w:t xml:space="preserve">a geographic area established for the provision and administration of communications </w:t>
      </w:r>
      <w:r w:rsidR="004E4DDF">
        <w:rPr>
          <w:rFonts w:eastAsiaTheme="minorHAnsi"/>
          <w:szCs w:val="22"/>
        </w:rPr>
        <w:t>Service</w:t>
      </w:r>
      <w:r w:rsidR="009573AE" w:rsidRPr="00212435">
        <w:rPr>
          <w:rFonts w:eastAsiaTheme="minorHAnsi"/>
          <w:szCs w:val="22"/>
        </w:rPr>
        <w:t xml:space="preserve">. It encompasses one or more designated </w:t>
      </w:r>
      <w:r w:rsidR="009573AE" w:rsidRPr="00212435">
        <w:rPr>
          <w:rFonts w:eastAsiaTheme="minorHAnsi"/>
          <w:szCs w:val="22"/>
        </w:rPr>
        <w:lastRenderedPageBreak/>
        <w:t>exchanges, which are grouped to serve common social, economic and other purposes. For the purposes of this tariff Geographical Market Area (GMA) and LATA are intended to be interchangeable.</w:t>
      </w:r>
      <w:r w:rsidR="00FC6CAA">
        <w:rPr>
          <w:rFonts w:cs="Arial"/>
          <w:szCs w:val="18"/>
        </w:rPr>
        <w:tab/>
      </w:r>
    </w:p>
    <w:p w14:paraId="1BC7BBD0" w14:textId="77777777" w:rsidR="009573AE" w:rsidRPr="00212435" w:rsidRDefault="00212435" w:rsidP="000402AA">
      <w:pPr>
        <w:widowControl w:val="0"/>
        <w:tabs>
          <w:tab w:val="left" w:pos="720"/>
          <w:tab w:val="right" w:pos="9468"/>
        </w:tabs>
        <w:autoSpaceDE w:val="0"/>
        <w:autoSpaceDN w:val="0"/>
        <w:spacing w:before="120" w:after="120"/>
        <w:ind w:left="720"/>
        <w:contextualSpacing/>
        <w:rPr>
          <w:spacing w:val="-2"/>
          <w:szCs w:val="22"/>
        </w:rPr>
      </w:pPr>
      <w:r>
        <w:rPr>
          <w:b/>
          <w:spacing w:val="-2"/>
          <w:szCs w:val="22"/>
        </w:rPr>
        <w:t>“</w:t>
      </w:r>
      <w:r w:rsidR="009573AE" w:rsidRPr="00212435">
        <w:rPr>
          <w:b/>
          <w:spacing w:val="-2"/>
          <w:szCs w:val="22"/>
        </w:rPr>
        <w:t>Number Porting</w:t>
      </w:r>
      <w:r>
        <w:rPr>
          <w:b/>
          <w:spacing w:val="-2"/>
          <w:szCs w:val="22"/>
        </w:rPr>
        <w:t>”</w:t>
      </w:r>
      <w:r w:rsidR="009573AE" w:rsidRPr="00212435">
        <w:rPr>
          <w:spacing w:val="-2"/>
          <w:szCs w:val="22"/>
        </w:rPr>
        <w:t xml:space="preserve"> shall mean the ability to move a range of DID numbers from an existing carrier to another carrier.</w:t>
      </w:r>
    </w:p>
    <w:p w14:paraId="587CCC50" w14:textId="567FC138" w:rsidR="00212435" w:rsidRDefault="00212435" w:rsidP="000402AA">
      <w:pPr>
        <w:widowControl w:val="0"/>
        <w:tabs>
          <w:tab w:val="left" w:pos="720"/>
          <w:tab w:val="right" w:pos="9468"/>
        </w:tabs>
        <w:autoSpaceDE w:val="0"/>
        <w:autoSpaceDN w:val="0"/>
        <w:spacing w:before="120" w:after="120"/>
        <w:ind w:left="720"/>
        <w:contextualSpacing/>
        <w:rPr>
          <w:spacing w:val="-2"/>
          <w:szCs w:val="22"/>
        </w:rPr>
      </w:pPr>
      <w:r>
        <w:rPr>
          <w:b/>
          <w:spacing w:val="-2"/>
          <w:szCs w:val="22"/>
        </w:rPr>
        <w:t>“</w:t>
      </w:r>
      <w:r w:rsidR="009573AE" w:rsidRPr="00212435">
        <w:rPr>
          <w:b/>
          <w:spacing w:val="-2"/>
          <w:szCs w:val="22"/>
        </w:rPr>
        <w:t>Outgoing restriction</w:t>
      </w:r>
      <w:r>
        <w:rPr>
          <w:b/>
          <w:spacing w:val="-2"/>
          <w:szCs w:val="22"/>
        </w:rPr>
        <w:t>”</w:t>
      </w:r>
      <w:r w:rsidR="009573AE" w:rsidRPr="00212435">
        <w:rPr>
          <w:spacing w:val="-2"/>
          <w:szCs w:val="22"/>
        </w:rPr>
        <w:t xml:space="preserve"> shall mean the ability to restrict a </w:t>
      </w:r>
      <w:r w:rsidR="009B3DFC">
        <w:rPr>
          <w:spacing w:val="-2"/>
          <w:szCs w:val="22"/>
        </w:rPr>
        <w:t>T-1</w:t>
      </w:r>
      <w:r w:rsidR="009573AE" w:rsidRPr="00212435">
        <w:rPr>
          <w:spacing w:val="-2"/>
          <w:szCs w:val="22"/>
        </w:rPr>
        <w:t xml:space="preserve"> facility from dialing toll, international, 900 and 976 </w:t>
      </w:r>
      <w:r w:rsidR="004E4DDF">
        <w:rPr>
          <w:spacing w:val="-2"/>
          <w:szCs w:val="22"/>
        </w:rPr>
        <w:t>Service</w:t>
      </w:r>
      <w:r w:rsidR="009573AE" w:rsidRPr="00212435">
        <w:rPr>
          <w:spacing w:val="-2"/>
          <w:szCs w:val="22"/>
        </w:rPr>
        <w:t>s.</w:t>
      </w:r>
    </w:p>
    <w:p w14:paraId="46B70A47" w14:textId="77777777" w:rsidR="00212435" w:rsidRDefault="00212435" w:rsidP="000402AA">
      <w:pPr>
        <w:spacing w:before="120" w:after="120"/>
        <w:ind w:left="720"/>
        <w:rPr>
          <w:szCs w:val="22"/>
        </w:rPr>
      </w:pPr>
      <w:r>
        <w:rPr>
          <w:b/>
          <w:szCs w:val="22"/>
        </w:rPr>
        <w:t>“</w:t>
      </w:r>
      <w:r w:rsidR="009573AE" w:rsidRPr="00212435">
        <w:rPr>
          <w:b/>
          <w:szCs w:val="22"/>
        </w:rPr>
        <w:t>Out-of-Service</w:t>
      </w:r>
      <w:r>
        <w:rPr>
          <w:b/>
          <w:szCs w:val="22"/>
        </w:rPr>
        <w:t>”</w:t>
      </w:r>
      <w:r w:rsidR="009573AE" w:rsidRPr="00212435">
        <w:rPr>
          <w:b/>
          <w:szCs w:val="22"/>
        </w:rPr>
        <w:t xml:space="preserve"> </w:t>
      </w:r>
      <w:r w:rsidR="009573AE" w:rsidRPr="00212435">
        <w:rPr>
          <w:szCs w:val="22"/>
        </w:rPr>
        <w:t xml:space="preserve">Shall mean either complete or partial hardware or software failure, resulting in the phone </w:t>
      </w:r>
      <w:r w:rsidR="004E4DDF">
        <w:rPr>
          <w:szCs w:val="22"/>
        </w:rPr>
        <w:t>Service</w:t>
      </w:r>
      <w:r w:rsidR="009573AE" w:rsidRPr="00212435">
        <w:rPr>
          <w:szCs w:val="22"/>
        </w:rPr>
        <w:t xml:space="preserve"> not functioning in accordance with the specifications set forth in this RFQ and any additional specifications included in Vendor’s Response.</w:t>
      </w:r>
    </w:p>
    <w:p w14:paraId="7712313D" w14:textId="57512D9C" w:rsidR="00212435" w:rsidRDefault="00212435" w:rsidP="000402AA">
      <w:pPr>
        <w:spacing w:before="120" w:after="120"/>
        <w:ind w:left="720"/>
        <w:rPr>
          <w:szCs w:val="22"/>
        </w:rPr>
      </w:pPr>
      <w:r>
        <w:rPr>
          <w:b/>
          <w:szCs w:val="22"/>
        </w:rPr>
        <w:t>“</w:t>
      </w:r>
      <w:r w:rsidR="009573AE" w:rsidRPr="00212435">
        <w:rPr>
          <w:b/>
          <w:szCs w:val="22"/>
        </w:rPr>
        <w:t>PICC Code</w:t>
      </w:r>
      <w:r w:rsidR="00E72EBC">
        <w:rPr>
          <w:b/>
          <w:szCs w:val="22"/>
        </w:rPr>
        <w:t xml:space="preserve"> </w:t>
      </w:r>
      <w:r w:rsidR="003871D4">
        <w:rPr>
          <w:b/>
          <w:szCs w:val="22"/>
        </w:rPr>
        <w:t>(PICC)</w:t>
      </w:r>
      <w:r>
        <w:rPr>
          <w:b/>
          <w:szCs w:val="22"/>
        </w:rPr>
        <w:t>”</w:t>
      </w:r>
      <w:r w:rsidR="009573AE" w:rsidRPr="00212435">
        <w:rPr>
          <w:szCs w:val="22"/>
        </w:rPr>
        <w:t xml:space="preserve"> </w:t>
      </w:r>
      <w:r w:rsidR="000A7A65" w:rsidRPr="00212435">
        <w:rPr>
          <w:szCs w:val="22"/>
        </w:rPr>
        <w:t>Pre</w:t>
      </w:r>
      <w:r w:rsidR="000A7A65">
        <w:rPr>
          <w:szCs w:val="22"/>
        </w:rPr>
        <w:t>subscribed</w:t>
      </w:r>
      <w:r w:rsidR="000A7A65" w:rsidRPr="00212435">
        <w:rPr>
          <w:szCs w:val="22"/>
        </w:rPr>
        <w:t xml:space="preserve"> </w:t>
      </w:r>
      <w:r w:rsidR="009573AE" w:rsidRPr="00212435">
        <w:rPr>
          <w:szCs w:val="22"/>
        </w:rPr>
        <w:t>Inter</w:t>
      </w:r>
      <w:r w:rsidR="000A7A65">
        <w:rPr>
          <w:szCs w:val="22"/>
        </w:rPr>
        <w:t>e</w:t>
      </w:r>
      <w:r w:rsidR="009573AE" w:rsidRPr="00212435">
        <w:rPr>
          <w:szCs w:val="22"/>
        </w:rPr>
        <w:t xml:space="preserve">xchange Carrier Code is the </w:t>
      </w:r>
      <w:proofErr w:type="gramStart"/>
      <w:r w:rsidR="009573AE" w:rsidRPr="00212435">
        <w:rPr>
          <w:szCs w:val="22"/>
        </w:rPr>
        <w:t>4 digit</w:t>
      </w:r>
      <w:proofErr w:type="gramEnd"/>
      <w:r w:rsidR="009573AE" w:rsidRPr="00212435">
        <w:rPr>
          <w:szCs w:val="22"/>
        </w:rPr>
        <w:t xml:space="preserve"> code defining the customer preferred Long Distance Service carrier.</w:t>
      </w:r>
    </w:p>
    <w:p w14:paraId="0FF7DD23" w14:textId="7E245543" w:rsidR="007641BE" w:rsidRPr="00AC6FCC" w:rsidRDefault="007641BE" w:rsidP="000402AA">
      <w:pPr>
        <w:spacing w:before="120" w:after="120"/>
        <w:ind w:left="720"/>
        <w:rPr>
          <w:szCs w:val="22"/>
        </w:rPr>
      </w:pPr>
      <w:r w:rsidRPr="00AC6FCC">
        <w:rPr>
          <w:b/>
          <w:szCs w:val="22"/>
        </w:rPr>
        <w:t xml:space="preserve">“PRI” Primary Rate Interface ISDN </w:t>
      </w:r>
      <w:r w:rsidRPr="00AC6FCC">
        <w:rPr>
          <w:szCs w:val="22"/>
        </w:rPr>
        <w:t>shall mean</w:t>
      </w:r>
      <w:r w:rsidRPr="00AC6FCC">
        <w:rPr>
          <w:b/>
          <w:szCs w:val="22"/>
        </w:rPr>
        <w:t xml:space="preserve"> </w:t>
      </w:r>
      <w:r w:rsidRPr="00AC6FCC">
        <w:rPr>
          <w:szCs w:val="22"/>
        </w:rPr>
        <w:t xml:space="preserve">a </w:t>
      </w:r>
      <w:r w:rsidR="009B3DFC">
        <w:rPr>
          <w:szCs w:val="22"/>
        </w:rPr>
        <w:t>T-1</w:t>
      </w:r>
      <w:r w:rsidRPr="00AC6FCC">
        <w:rPr>
          <w:szCs w:val="22"/>
        </w:rPr>
        <w:t xml:space="preserve"> line consisting of 23 </w:t>
      </w:r>
      <w:r w:rsidRPr="00D824A6">
        <w:rPr>
          <w:szCs w:val="22"/>
        </w:rPr>
        <w:t>bearer (B) channels</w:t>
      </w:r>
      <w:r w:rsidRPr="00AC6FCC">
        <w:rPr>
          <w:szCs w:val="22"/>
        </w:rPr>
        <w:t xml:space="preserve"> and one </w:t>
      </w:r>
      <w:r w:rsidR="00842E7F" w:rsidRPr="00D824A6">
        <w:rPr>
          <w:szCs w:val="22"/>
        </w:rPr>
        <w:t>delta (D) channel</w:t>
      </w:r>
      <w:r w:rsidRPr="00AC6FCC">
        <w:rPr>
          <w:szCs w:val="22"/>
        </w:rPr>
        <w:t xml:space="preserve"> for control purposes,</w:t>
      </w:r>
      <w:r w:rsidR="00EA56DE" w:rsidRPr="00AC6FCC">
        <w:rPr>
          <w:szCs w:val="22"/>
        </w:rPr>
        <w:t xml:space="preserve"> </w:t>
      </w:r>
      <w:r w:rsidRPr="00AC6FCC">
        <w:rPr>
          <w:szCs w:val="22"/>
        </w:rPr>
        <w:t xml:space="preserve">for a total bandwidth of 24x64-kbit/s or 1.544 Mbit/s.  Alternately, the PRI can have 24 bearer channels in a </w:t>
      </w:r>
      <w:proofErr w:type="gramStart"/>
      <w:r w:rsidRPr="00AC6FCC">
        <w:rPr>
          <w:szCs w:val="22"/>
        </w:rPr>
        <w:t>Non Facility</w:t>
      </w:r>
      <w:proofErr w:type="gramEnd"/>
      <w:r w:rsidRPr="00AC6FCC">
        <w:rPr>
          <w:szCs w:val="22"/>
        </w:rPr>
        <w:t xml:space="preserve"> Associated Signaling (NFAS) configuration.</w:t>
      </w:r>
    </w:p>
    <w:p w14:paraId="1DD273F8" w14:textId="77777777" w:rsidR="00E72EBC" w:rsidRDefault="00DA7289" w:rsidP="000402AA">
      <w:pPr>
        <w:keepLines/>
        <w:spacing w:before="120" w:after="120"/>
        <w:ind w:left="720"/>
        <w:rPr>
          <w:szCs w:val="22"/>
        </w:rPr>
      </w:pPr>
      <w:r w:rsidRPr="00AC6FCC">
        <w:rPr>
          <w:b/>
          <w:szCs w:val="22"/>
        </w:rPr>
        <w:t>“Private Branch Exchange (PBX)”</w:t>
      </w:r>
      <w:r w:rsidRPr="00AC6FCC">
        <w:rPr>
          <w:szCs w:val="22"/>
        </w:rPr>
        <w:t xml:space="preserve"> shall mean a </w:t>
      </w:r>
      <w:r w:rsidRPr="00D824A6">
        <w:rPr>
          <w:szCs w:val="22"/>
        </w:rPr>
        <w:t>telephone exchange</w:t>
      </w:r>
      <w:r w:rsidRPr="00AC6FCC">
        <w:rPr>
          <w:szCs w:val="22"/>
        </w:rPr>
        <w:t xml:space="preserve"> or switching system that </w:t>
      </w:r>
      <w:r w:rsidR="00BD453B" w:rsidRPr="00AC6FCC">
        <w:rPr>
          <w:szCs w:val="22"/>
        </w:rPr>
        <w:t xml:space="preserve">serves a private organization and performs concentration of central office lines or trunks and provides intercommunication between </w:t>
      </w:r>
      <w:proofErr w:type="gramStart"/>
      <w:r w:rsidR="00BD453B" w:rsidRPr="00AC6FCC">
        <w:rPr>
          <w:szCs w:val="22"/>
        </w:rPr>
        <w:t>a large number of</w:t>
      </w:r>
      <w:proofErr w:type="gramEnd"/>
      <w:r w:rsidR="00BD453B" w:rsidRPr="00AC6FCC">
        <w:rPr>
          <w:szCs w:val="22"/>
        </w:rPr>
        <w:t xml:space="preserve"> telephone stations in the organization</w:t>
      </w:r>
    </w:p>
    <w:p w14:paraId="16FF2EF0" w14:textId="77777777" w:rsidR="009B3DFC" w:rsidRDefault="00BD453B" w:rsidP="000402AA">
      <w:pPr>
        <w:keepLines/>
        <w:spacing w:before="120" w:after="120"/>
        <w:ind w:left="720"/>
        <w:rPr>
          <w:spacing w:val="-3"/>
          <w:szCs w:val="22"/>
        </w:rPr>
      </w:pPr>
      <w:r w:rsidRPr="00AC6FCC">
        <w:rPr>
          <w:b/>
          <w:szCs w:val="22"/>
        </w:rPr>
        <w:t>“Public Switched Telephone Network (PSTN)”</w:t>
      </w:r>
      <w:r w:rsidRPr="00AC6FCC">
        <w:rPr>
          <w:szCs w:val="22"/>
        </w:rPr>
        <w:t xml:space="preserve"> shall mean </w:t>
      </w:r>
      <w:r w:rsidRPr="00AC6FCC">
        <w:rPr>
          <w:kern w:val="28"/>
          <w:szCs w:val="22"/>
        </w:rPr>
        <w:t xml:space="preserve">the aggregate of the world's circuit-switched telephone networks that are operated by national, regional, or local </w:t>
      </w:r>
      <w:proofErr w:type="spellStart"/>
      <w:r w:rsidRPr="00AC6FCC">
        <w:rPr>
          <w:kern w:val="28"/>
          <w:szCs w:val="22"/>
        </w:rPr>
        <w:t>telephony</w:t>
      </w:r>
      <w:proofErr w:type="spellEnd"/>
      <w:r w:rsidRPr="00AC6FCC">
        <w:rPr>
          <w:kern w:val="28"/>
          <w:szCs w:val="22"/>
        </w:rPr>
        <w:t xml:space="preserve"> operators, providing infrastructure and services for public telecommunication.</w:t>
      </w:r>
      <w:r w:rsidR="00E72EBC" w:rsidRPr="00AC6FCC" w:rsidDel="00E72EBC">
        <w:rPr>
          <w:spacing w:val="-3"/>
          <w:szCs w:val="22"/>
        </w:rPr>
        <w:t xml:space="preserve"> </w:t>
      </w:r>
    </w:p>
    <w:p w14:paraId="03A5F134" w14:textId="67007115" w:rsidR="009573AE" w:rsidRPr="000402AA" w:rsidRDefault="00212435" w:rsidP="000402AA">
      <w:pPr>
        <w:keepLines/>
        <w:spacing w:before="120" w:after="120"/>
        <w:ind w:left="720"/>
        <w:rPr>
          <w:szCs w:val="22"/>
        </w:rPr>
      </w:pPr>
      <w:r w:rsidRPr="000402AA">
        <w:rPr>
          <w:b/>
          <w:szCs w:val="22"/>
        </w:rPr>
        <w:t>“</w:t>
      </w:r>
      <w:r w:rsidR="009573AE" w:rsidRPr="000402AA">
        <w:rPr>
          <w:b/>
          <w:szCs w:val="22"/>
        </w:rPr>
        <w:t>Third party billing restriction</w:t>
      </w:r>
      <w:r w:rsidRPr="000402AA">
        <w:rPr>
          <w:b/>
          <w:szCs w:val="22"/>
        </w:rPr>
        <w:t>”</w:t>
      </w:r>
      <w:r w:rsidR="00612D18" w:rsidRPr="000402AA">
        <w:rPr>
          <w:szCs w:val="22"/>
        </w:rPr>
        <w:t xml:space="preserve"> </w:t>
      </w:r>
      <w:r w:rsidR="009573AE" w:rsidRPr="000402AA">
        <w:rPr>
          <w:szCs w:val="22"/>
        </w:rPr>
        <w:t xml:space="preserve">Shall mean the ability to prevent a user from billing a toll or chargeable operator assisted call to a number on the </w:t>
      </w:r>
      <w:r w:rsidR="004E4DDF" w:rsidRPr="000402AA">
        <w:rPr>
          <w:szCs w:val="22"/>
        </w:rPr>
        <w:t>Service</w:t>
      </w:r>
      <w:r w:rsidR="009573AE" w:rsidRPr="000402AA">
        <w:rPr>
          <w:szCs w:val="22"/>
        </w:rPr>
        <w:t xml:space="preserve">. </w:t>
      </w:r>
    </w:p>
    <w:p w14:paraId="1022FABC" w14:textId="77777777" w:rsidR="00212435" w:rsidRPr="000402AA" w:rsidRDefault="00212435" w:rsidP="000402AA">
      <w:pPr>
        <w:keepLines/>
        <w:spacing w:before="120" w:after="120"/>
        <w:ind w:left="720"/>
        <w:rPr>
          <w:szCs w:val="22"/>
        </w:rPr>
      </w:pPr>
      <w:r w:rsidRPr="000402AA">
        <w:rPr>
          <w:b/>
          <w:szCs w:val="22"/>
        </w:rPr>
        <w:t>“</w:t>
      </w:r>
      <w:r w:rsidR="009573AE" w:rsidRPr="000402AA">
        <w:rPr>
          <w:b/>
          <w:szCs w:val="22"/>
        </w:rPr>
        <w:t>Trunk</w:t>
      </w:r>
      <w:r w:rsidRPr="000402AA">
        <w:rPr>
          <w:b/>
          <w:szCs w:val="22"/>
        </w:rPr>
        <w:t>”</w:t>
      </w:r>
      <w:r w:rsidR="009573AE" w:rsidRPr="000402AA">
        <w:rPr>
          <w:szCs w:val="22"/>
        </w:rPr>
        <w:t xml:space="preserve"> </w:t>
      </w:r>
      <w:r w:rsidR="003101E1" w:rsidRPr="000402AA">
        <w:rPr>
          <w:szCs w:val="22"/>
        </w:rPr>
        <w:t>shall mean</w:t>
      </w:r>
      <w:r w:rsidR="003101E1" w:rsidRPr="000402AA" w:rsidDel="003101E1">
        <w:rPr>
          <w:szCs w:val="22"/>
        </w:rPr>
        <w:t xml:space="preserve"> </w:t>
      </w:r>
      <w:r w:rsidR="009573AE" w:rsidRPr="000402AA">
        <w:rPr>
          <w:szCs w:val="22"/>
        </w:rPr>
        <w:t>a communications path connecting two switching systems in a network, used in the establishment of an end-to-end connection</w:t>
      </w:r>
      <w:r w:rsidR="007433EF" w:rsidRPr="000402AA">
        <w:rPr>
          <w:szCs w:val="22"/>
        </w:rPr>
        <w:t xml:space="preserve"> with the capability of</w:t>
      </w:r>
      <w:r w:rsidR="00B65FB5" w:rsidRPr="000402AA">
        <w:rPr>
          <w:szCs w:val="22"/>
        </w:rPr>
        <w:t xml:space="preserve"> passing different</w:t>
      </w:r>
      <w:r w:rsidR="007433EF" w:rsidRPr="000402AA">
        <w:rPr>
          <w:szCs w:val="22"/>
        </w:rPr>
        <w:t xml:space="preserve"> numbers</w:t>
      </w:r>
      <w:r w:rsidR="009573AE" w:rsidRPr="000402AA">
        <w:rPr>
          <w:szCs w:val="22"/>
        </w:rPr>
        <w:t>.</w:t>
      </w:r>
    </w:p>
    <w:p w14:paraId="28F9C388" w14:textId="77777777" w:rsidR="00212435" w:rsidRPr="000402AA" w:rsidRDefault="00212435" w:rsidP="000402AA">
      <w:pPr>
        <w:keepLines/>
        <w:spacing w:before="120" w:after="120"/>
        <w:ind w:left="720"/>
        <w:rPr>
          <w:szCs w:val="22"/>
        </w:rPr>
      </w:pPr>
      <w:r w:rsidRPr="000402AA">
        <w:rPr>
          <w:b/>
          <w:szCs w:val="22"/>
        </w:rPr>
        <w:t>“</w:t>
      </w:r>
      <w:r w:rsidR="009573AE" w:rsidRPr="000402AA">
        <w:rPr>
          <w:b/>
          <w:szCs w:val="22"/>
        </w:rPr>
        <w:t>Trunk Group</w:t>
      </w:r>
      <w:r w:rsidRPr="000402AA">
        <w:rPr>
          <w:b/>
          <w:szCs w:val="22"/>
        </w:rPr>
        <w:t>”</w:t>
      </w:r>
      <w:r w:rsidR="009573AE" w:rsidRPr="000402AA">
        <w:rPr>
          <w:szCs w:val="22"/>
        </w:rPr>
        <w:t xml:space="preserve"> </w:t>
      </w:r>
      <w:r w:rsidR="003101E1" w:rsidRPr="000402AA">
        <w:rPr>
          <w:szCs w:val="22"/>
        </w:rPr>
        <w:t>shall mean</w:t>
      </w:r>
      <w:r w:rsidR="003101E1" w:rsidRPr="000402AA" w:rsidDel="003101E1">
        <w:rPr>
          <w:szCs w:val="22"/>
        </w:rPr>
        <w:t xml:space="preserve"> </w:t>
      </w:r>
      <w:r w:rsidR="009573AE" w:rsidRPr="000402AA">
        <w:rPr>
          <w:szCs w:val="22"/>
        </w:rPr>
        <w:t xml:space="preserve">a set of trunks which are traffic engineered as a unit for the establishment of connections between switching systems in which </w:t>
      </w:r>
      <w:proofErr w:type="gramStart"/>
      <w:r w:rsidR="009573AE" w:rsidRPr="000402AA">
        <w:rPr>
          <w:szCs w:val="22"/>
        </w:rPr>
        <w:t>all of</w:t>
      </w:r>
      <w:proofErr w:type="gramEnd"/>
      <w:r w:rsidR="009573AE" w:rsidRPr="000402AA">
        <w:rPr>
          <w:szCs w:val="22"/>
        </w:rPr>
        <w:t xml:space="preserve"> the communications paths are interchangeable.</w:t>
      </w:r>
    </w:p>
    <w:p w14:paraId="10CF0BF4" w14:textId="77777777" w:rsidR="00137D16" w:rsidRPr="00726A72" w:rsidRDefault="00137D16" w:rsidP="00624326">
      <w:pPr>
        <w:pStyle w:val="Heading1"/>
        <w:numPr>
          <w:ilvl w:val="0"/>
          <w:numId w:val="14"/>
        </w:numPr>
      </w:pPr>
      <w:r w:rsidRPr="00726A72">
        <w:t>Statement of Work (</w:t>
      </w:r>
      <w:r w:rsidR="00212435" w:rsidRPr="00726A72">
        <w:t>“</w:t>
      </w:r>
      <w:r w:rsidRPr="00726A72">
        <w:t>SOW</w:t>
      </w:r>
      <w:r w:rsidR="00212435" w:rsidRPr="00726A72">
        <w:t>”</w:t>
      </w:r>
      <w:r w:rsidRPr="00726A72">
        <w:t>)</w:t>
      </w:r>
      <w:bookmarkEnd w:id="0"/>
    </w:p>
    <w:p w14:paraId="720A576B" w14:textId="77777777" w:rsidR="00726A72" w:rsidRPr="00D4081F" w:rsidRDefault="00726A72" w:rsidP="00624326">
      <w:pPr>
        <w:pStyle w:val="Heading2"/>
        <w:numPr>
          <w:ilvl w:val="1"/>
          <w:numId w:val="14"/>
        </w:numPr>
        <w:tabs>
          <w:tab w:val="left" w:pos="1620"/>
        </w:tabs>
        <w:ind w:left="1620"/>
      </w:pPr>
      <w:r w:rsidRPr="00D4081F">
        <w:t>All Services shall be performed pursuant to the terms of this Contract and shall be documented in an SOW</w:t>
      </w:r>
      <w:r w:rsidR="00442AB1">
        <w:t>.</w:t>
      </w:r>
    </w:p>
    <w:p w14:paraId="11C8A487" w14:textId="77777777" w:rsidR="00137D16" w:rsidRPr="00726A72" w:rsidRDefault="00137D16" w:rsidP="00624326">
      <w:pPr>
        <w:pStyle w:val="Heading2"/>
        <w:numPr>
          <w:ilvl w:val="1"/>
          <w:numId w:val="14"/>
        </w:numPr>
        <w:tabs>
          <w:tab w:val="left" w:pos="1620"/>
        </w:tabs>
        <w:ind w:left="1620"/>
      </w:pPr>
      <w:r w:rsidRPr="00726A72">
        <w:t>No work shall be performed by Contractor until:</w:t>
      </w:r>
    </w:p>
    <w:p w14:paraId="595C7DDF" w14:textId="390DAD48" w:rsidR="00137D16" w:rsidRPr="00433111" w:rsidRDefault="00137D16" w:rsidP="00624326">
      <w:pPr>
        <w:pStyle w:val="Heading1para"/>
        <w:numPr>
          <w:ilvl w:val="0"/>
          <w:numId w:val="7"/>
        </w:numPr>
        <w:contextualSpacing/>
        <w:rPr>
          <w:szCs w:val="24"/>
        </w:rPr>
      </w:pPr>
      <w:r w:rsidRPr="00433111">
        <w:rPr>
          <w:szCs w:val="24"/>
        </w:rPr>
        <w:t xml:space="preserve">A SOW is executed by Contractor and </w:t>
      </w:r>
      <w:r w:rsidR="008A07E6">
        <w:rPr>
          <w:szCs w:val="24"/>
        </w:rPr>
        <w:t>WaTech</w:t>
      </w:r>
      <w:r w:rsidRPr="00433111">
        <w:rPr>
          <w:szCs w:val="24"/>
        </w:rPr>
        <w:t xml:space="preserve"> and</w:t>
      </w:r>
    </w:p>
    <w:p w14:paraId="4C55C202" w14:textId="77777777" w:rsidR="00137D16" w:rsidRPr="00433111" w:rsidRDefault="00CF4065" w:rsidP="00624326">
      <w:pPr>
        <w:pStyle w:val="Heading1para"/>
        <w:numPr>
          <w:ilvl w:val="0"/>
          <w:numId w:val="7"/>
        </w:numPr>
        <w:contextualSpacing/>
        <w:rPr>
          <w:szCs w:val="24"/>
        </w:rPr>
      </w:pPr>
      <w:r w:rsidRPr="00433111">
        <w:rPr>
          <w:szCs w:val="24"/>
        </w:rPr>
        <w:t>T</w:t>
      </w:r>
      <w:r w:rsidR="00137D16" w:rsidRPr="00433111">
        <w:rPr>
          <w:szCs w:val="24"/>
        </w:rPr>
        <w:t>he executed SOW is received by Contractor and</w:t>
      </w:r>
    </w:p>
    <w:p w14:paraId="11009315" w14:textId="6D120D10" w:rsidR="00137D16" w:rsidRPr="00433111" w:rsidRDefault="008A07E6" w:rsidP="00624326">
      <w:pPr>
        <w:pStyle w:val="Heading1para"/>
        <w:numPr>
          <w:ilvl w:val="0"/>
          <w:numId w:val="7"/>
        </w:numPr>
        <w:contextualSpacing/>
        <w:rPr>
          <w:szCs w:val="24"/>
        </w:rPr>
      </w:pPr>
      <w:r>
        <w:rPr>
          <w:szCs w:val="24"/>
        </w:rPr>
        <w:t>WaTech</w:t>
      </w:r>
      <w:r w:rsidR="00137D16" w:rsidRPr="00433111">
        <w:rPr>
          <w:szCs w:val="24"/>
        </w:rPr>
        <w:t xml:space="preserve"> electronically sends a Tech Order to the Contractor</w:t>
      </w:r>
    </w:p>
    <w:p w14:paraId="5E1743A0" w14:textId="62667002" w:rsidR="00137D16" w:rsidRPr="00726A72" w:rsidRDefault="000B310C" w:rsidP="00624326">
      <w:pPr>
        <w:pStyle w:val="Heading2"/>
        <w:numPr>
          <w:ilvl w:val="1"/>
          <w:numId w:val="14"/>
        </w:numPr>
        <w:tabs>
          <w:tab w:val="left" w:pos="1620"/>
        </w:tabs>
        <w:ind w:left="1620"/>
      </w:pPr>
      <w:r>
        <w:t>The Appparently Successful Vendor (</w:t>
      </w:r>
      <w:r w:rsidR="00726A72">
        <w:t>A</w:t>
      </w:r>
      <w:r w:rsidR="00137D16" w:rsidRPr="00726A72">
        <w:t>SV</w:t>
      </w:r>
      <w:r>
        <w:t>)</w:t>
      </w:r>
      <w:r w:rsidR="00137D16" w:rsidRPr="00726A72">
        <w:t xml:space="preserve"> will deliver all signed SOW documents electronically to </w:t>
      </w:r>
      <w:r w:rsidR="008A07E6">
        <w:t>WaTech</w:t>
      </w:r>
      <w:r w:rsidR="00137D16" w:rsidRPr="00726A72">
        <w:t>.</w:t>
      </w:r>
    </w:p>
    <w:p w14:paraId="3D8A3767" w14:textId="424A8BC2" w:rsidR="00137D16" w:rsidRPr="00726A72" w:rsidRDefault="00137D16" w:rsidP="00624326">
      <w:pPr>
        <w:pStyle w:val="Heading2"/>
        <w:numPr>
          <w:ilvl w:val="1"/>
          <w:numId w:val="14"/>
        </w:numPr>
        <w:tabs>
          <w:tab w:val="left" w:pos="1620"/>
        </w:tabs>
        <w:ind w:left="1620"/>
      </w:pPr>
      <w:r w:rsidRPr="00726A72">
        <w:t xml:space="preserve">The ASV must sign and electronically return the SOW within seven (7) days of </w:t>
      </w:r>
      <w:r w:rsidR="008A07E6">
        <w:t>WaTech</w:t>
      </w:r>
      <w:r w:rsidRPr="00726A72">
        <w:t xml:space="preserve"> sending the SOW. In the event the ASV fails to meet this deadline, Contractor will be ineligible to participate in any </w:t>
      </w:r>
      <w:r w:rsidR="008A07E6">
        <w:t>WaTech</w:t>
      </w:r>
      <w:r w:rsidRPr="00726A72">
        <w:t xml:space="preserve"> procurements related to this </w:t>
      </w:r>
      <w:r w:rsidR="00115FD7" w:rsidRPr="00726A72">
        <w:t>Technical</w:t>
      </w:r>
      <w:r w:rsidRPr="00726A72">
        <w:t xml:space="preserve"> Addendum.  The right to participate will not commence until 30 days after </w:t>
      </w:r>
      <w:r w:rsidR="008A07E6">
        <w:t>WaTech</w:t>
      </w:r>
      <w:r w:rsidRPr="00726A72">
        <w:t xml:space="preserve"> </w:t>
      </w:r>
      <w:r w:rsidR="00115FD7" w:rsidRPr="00726A72">
        <w:lastRenderedPageBreak/>
        <w:t>receives</w:t>
      </w:r>
      <w:r w:rsidRPr="00726A72">
        <w:t xml:space="preserve"> the outstanding SOW.  The resultant loss of status will be escalated to the </w:t>
      </w:r>
      <w:r w:rsidR="008A07E6">
        <w:t>WaTech</w:t>
      </w:r>
      <w:r w:rsidRPr="00726A72">
        <w:t xml:space="preserve"> </w:t>
      </w:r>
      <w:r w:rsidR="008A07E6">
        <w:t>Contracts and Procurements Manager</w:t>
      </w:r>
      <w:r w:rsidRPr="00726A72">
        <w:t xml:space="preserve">, the Network Division Assistant Director, the </w:t>
      </w:r>
      <w:r w:rsidR="00115FD7" w:rsidRPr="00726A72">
        <w:t>Deputy</w:t>
      </w:r>
      <w:r w:rsidRPr="00726A72">
        <w:t xml:space="preserve"> Director and the supervisor’s supervisor of th</w:t>
      </w:r>
      <w:r w:rsidR="00115FD7" w:rsidRPr="00726A72">
        <w:t xml:space="preserve">e sales staff involved </w:t>
      </w:r>
      <w:r w:rsidRPr="00726A72">
        <w:t xml:space="preserve">as stated in the </w:t>
      </w:r>
      <w:r w:rsidR="00C15110">
        <w:t>Network</w:t>
      </w:r>
      <w:r w:rsidRPr="00726A72">
        <w:t xml:space="preserve"> Services Agreement.</w:t>
      </w:r>
    </w:p>
    <w:p w14:paraId="7A7C41EE" w14:textId="7DA706E7" w:rsidR="00137D16" w:rsidRPr="00726A72" w:rsidRDefault="00137D16" w:rsidP="00624326">
      <w:pPr>
        <w:pStyle w:val="Heading2"/>
        <w:numPr>
          <w:ilvl w:val="1"/>
          <w:numId w:val="14"/>
        </w:numPr>
        <w:tabs>
          <w:tab w:val="left" w:pos="1620"/>
        </w:tabs>
        <w:ind w:left="1620"/>
      </w:pPr>
      <w:r w:rsidRPr="00726A72">
        <w:t xml:space="preserve">If the ASV fails to sign and electronically return the SOW for more than fifteen (15) day(s) after the SOW is transmitted to the ASV Contractor will be ineligible to participate in any </w:t>
      </w:r>
      <w:r w:rsidR="008A07E6">
        <w:t>WaTech</w:t>
      </w:r>
      <w:r w:rsidRPr="00726A72">
        <w:t xml:space="preserve"> procurements on this </w:t>
      </w:r>
      <w:r w:rsidR="00C15110">
        <w:t>NSA</w:t>
      </w:r>
      <w:r w:rsidRPr="00726A72">
        <w:t xml:space="preserve">.  This right to participate will not commence until 60 days after </w:t>
      </w:r>
      <w:r w:rsidR="008A07E6">
        <w:t>WaTech</w:t>
      </w:r>
      <w:r w:rsidRPr="00726A72">
        <w:t xml:space="preserve"> </w:t>
      </w:r>
      <w:r w:rsidR="00115FD7" w:rsidRPr="00726A72">
        <w:t>receives</w:t>
      </w:r>
      <w:r w:rsidRPr="00726A72">
        <w:t xml:space="preserve"> the outstanding SOW.  Multiple failures to timely return a signed SOW may result in a material breach and termination of the </w:t>
      </w:r>
      <w:r w:rsidR="00C15110">
        <w:t>Network</w:t>
      </w:r>
      <w:r w:rsidRPr="00726A72">
        <w:t xml:space="preserve"> Services Agreement, the Technical Addendum, or both in </w:t>
      </w:r>
      <w:r w:rsidR="008A07E6">
        <w:t>WaTech’s</w:t>
      </w:r>
      <w:r w:rsidRPr="00726A72">
        <w:t xml:space="preserve"> sole discretion.</w:t>
      </w:r>
    </w:p>
    <w:p w14:paraId="0BFA4DA9" w14:textId="7E9190F0" w:rsidR="00CF4065" w:rsidRPr="00726A72" w:rsidRDefault="00137D16" w:rsidP="00624326">
      <w:pPr>
        <w:pStyle w:val="Heading2"/>
        <w:numPr>
          <w:ilvl w:val="1"/>
          <w:numId w:val="14"/>
        </w:numPr>
        <w:tabs>
          <w:tab w:val="left" w:pos="1620"/>
        </w:tabs>
        <w:ind w:left="1620"/>
      </w:pPr>
      <w:r w:rsidRPr="00726A72">
        <w:t xml:space="preserve">If the ASV fails to sign and electronically return the SOW for more than thirty (30) days from </w:t>
      </w:r>
      <w:r w:rsidR="008A07E6">
        <w:t>WaTech</w:t>
      </w:r>
      <w:r w:rsidRPr="00726A72">
        <w:t xml:space="preserve"> sending the SOW, the ASV will be cancelled and the Contactor will be ineligible to participate in future </w:t>
      </w:r>
      <w:r w:rsidR="008A07E6">
        <w:t>WaTech</w:t>
      </w:r>
      <w:r w:rsidRPr="00726A72">
        <w:t xml:space="preserve"> procurements on this </w:t>
      </w:r>
      <w:r w:rsidR="00C15110">
        <w:t>NSA</w:t>
      </w:r>
      <w:r w:rsidRPr="00726A72">
        <w:t xml:space="preserve"> for 90 days.  Multiple failures to timely return a signed SOW may </w:t>
      </w:r>
      <w:r w:rsidR="00115FD7" w:rsidRPr="00726A72">
        <w:t>constitute</w:t>
      </w:r>
      <w:r w:rsidRPr="00726A72">
        <w:t xml:space="preserve"> in a material breach and termination of the </w:t>
      </w:r>
      <w:r w:rsidR="00C15110">
        <w:t>Network</w:t>
      </w:r>
      <w:r w:rsidRPr="00726A72">
        <w:t xml:space="preserve"> Services Agreement, the Technical Addendum, or both in </w:t>
      </w:r>
      <w:r w:rsidR="008A07E6">
        <w:t>WaTech’s</w:t>
      </w:r>
      <w:r w:rsidRPr="00726A72">
        <w:t xml:space="preserve"> sole discretion. </w:t>
      </w:r>
    </w:p>
    <w:p w14:paraId="1C820C29" w14:textId="34DD3F85" w:rsidR="00137D16" w:rsidRPr="00726A72" w:rsidRDefault="00137D16" w:rsidP="00624326">
      <w:pPr>
        <w:pStyle w:val="Heading2"/>
        <w:numPr>
          <w:ilvl w:val="1"/>
          <w:numId w:val="14"/>
        </w:numPr>
        <w:tabs>
          <w:tab w:val="left" w:pos="1620"/>
        </w:tabs>
        <w:ind w:left="1620"/>
      </w:pPr>
      <w:r w:rsidRPr="00726A72">
        <w:t xml:space="preserve">A SOW’s initial Service Term shall be thirty six (36) months, commencing upon the Effective Date of the Service Acceptance unless otherwise set forth in the </w:t>
      </w:r>
      <w:r w:rsidR="008A07E6">
        <w:t>WaTech</w:t>
      </w:r>
      <w:r w:rsidRPr="00726A72">
        <w:t xml:space="preserve"> Procurement Document. After the initial term, </w:t>
      </w:r>
      <w:r w:rsidR="008A07E6">
        <w:t>WaTech</w:t>
      </w:r>
      <w:r w:rsidRPr="00726A72">
        <w:t xml:space="preserve"> may extend the contract for up four </w:t>
      </w:r>
      <w:r w:rsidR="00115FD7" w:rsidRPr="00726A72">
        <w:t>additional</w:t>
      </w:r>
      <w:r w:rsidRPr="00726A72">
        <w:t xml:space="preserve"> years in renewal increments of one (1) or more years.</w:t>
      </w:r>
    </w:p>
    <w:p w14:paraId="44194A79" w14:textId="77777777" w:rsidR="00137D16" w:rsidRPr="00726A72" w:rsidRDefault="00137D16" w:rsidP="00624326">
      <w:pPr>
        <w:pStyle w:val="Heading1"/>
        <w:numPr>
          <w:ilvl w:val="0"/>
          <w:numId w:val="14"/>
        </w:numPr>
      </w:pPr>
      <w:r w:rsidRPr="00726A72">
        <w:t xml:space="preserve">Termination Liability (TLA): </w:t>
      </w:r>
    </w:p>
    <w:p w14:paraId="194AEC09" w14:textId="77777777" w:rsidR="0098073A" w:rsidRPr="0098073A" w:rsidRDefault="00137D16" w:rsidP="00624326">
      <w:pPr>
        <w:pStyle w:val="Heading2"/>
        <w:numPr>
          <w:ilvl w:val="1"/>
          <w:numId w:val="14"/>
        </w:numPr>
        <w:tabs>
          <w:tab w:val="left" w:pos="1620"/>
        </w:tabs>
        <w:ind w:left="1620"/>
      </w:pPr>
      <w:r w:rsidRPr="0098073A">
        <w:t>TLA Calculations</w:t>
      </w:r>
    </w:p>
    <w:p w14:paraId="6A4DD435" w14:textId="7293BDFC" w:rsidR="00137D16" w:rsidRDefault="00E72EBC" w:rsidP="00A72206">
      <w:pPr>
        <w:pStyle w:val="Heading2"/>
        <w:ind w:left="1620" w:hanging="360"/>
      </w:pPr>
      <w:r>
        <w:tab/>
      </w:r>
      <w:r w:rsidR="00137D16" w:rsidRPr="0098073A">
        <w:t xml:space="preserve">In the event that the State must terminate service, termination liability will not exceed the cost of one month’s service at the affected locations for each remaining full year </w:t>
      </w:r>
      <w:r w:rsidR="00FF4201">
        <w:t>in the Service Term</w:t>
      </w:r>
      <w:r w:rsidR="00137D16" w:rsidRPr="0098073A">
        <w:t>.</w:t>
      </w:r>
    </w:p>
    <w:p w14:paraId="0B1AC317" w14:textId="77777777" w:rsidR="0098073A" w:rsidRDefault="00137D16" w:rsidP="00624326">
      <w:pPr>
        <w:pStyle w:val="Heading2"/>
        <w:numPr>
          <w:ilvl w:val="1"/>
          <w:numId w:val="14"/>
        </w:numPr>
        <w:tabs>
          <w:tab w:val="left" w:pos="1620"/>
        </w:tabs>
        <w:ind w:left="1620"/>
      </w:pPr>
      <w:r w:rsidRPr="0098073A">
        <w:t>New Pricing</w:t>
      </w:r>
    </w:p>
    <w:p w14:paraId="1CBB0E84" w14:textId="2D8BD337" w:rsidR="00283AA5" w:rsidRDefault="00283AA5" w:rsidP="00283AA5">
      <w:pPr>
        <w:pStyle w:val="Heading2"/>
        <w:tabs>
          <w:tab w:val="left" w:pos="1620"/>
        </w:tabs>
        <w:ind w:left="1620"/>
      </w:pPr>
      <w:r w:rsidRPr="0098073A">
        <w:t xml:space="preserve">The Contractor may offer new pricing to </w:t>
      </w:r>
      <w:r w:rsidR="008A07E6">
        <w:t>WaTech</w:t>
      </w:r>
      <w:r w:rsidRPr="0098073A">
        <w:t xml:space="preserve"> at any time or when requested</w:t>
      </w:r>
      <w:r>
        <w:t>. Acceptance of the new pricing will not reset the Service Term.</w:t>
      </w:r>
    </w:p>
    <w:p w14:paraId="4F28AA87" w14:textId="77777777" w:rsidR="00283AA5" w:rsidRDefault="00283AA5" w:rsidP="00624326">
      <w:pPr>
        <w:pStyle w:val="Heading2"/>
        <w:numPr>
          <w:ilvl w:val="1"/>
          <w:numId w:val="14"/>
        </w:numPr>
        <w:tabs>
          <w:tab w:val="left" w:pos="1620"/>
        </w:tabs>
        <w:ind w:left="1620"/>
      </w:pPr>
      <w:r>
        <w:t>Service Termination</w:t>
      </w:r>
    </w:p>
    <w:p w14:paraId="6622EF4E" w14:textId="244BAEF0" w:rsidR="00283AA5" w:rsidRPr="0098073A" w:rsidRDefault="00283AA5" w:rsidP="001B3B78">
      <w:pPr>
        <w:pStyle w:val="Heading2"/>
        <w:tabs>
          <w:tab w:val="left" w:pos="1620"/>
        </w:tabs>
        <w:ind w:left="1620"/>
      </w:pPr>
      <w:r>
        <w:t xml:space="preserve">Contractor agrees that if </w:t>
      </w:r>
      <w:r w:rsidR="008A07E6">
        <w:t>WaTech</w:t>
      </w:r>
      <w:r>
        <w:t xml:space="preserve"> terminates Services under this addendum that </w:t>
      </w:r>
      <w:r w:rsidR="008A07E6">
        <w:t>WaTech</w:t>
      </w:r>
      <w:r>
        <w:t xml:space="preserve"> will incur no additional charges beyond the TLA listed above.</w:t>
      </w:r>
    </w:p>
    <w:p w14:paraId="6543839C" w14:textId="77777777" w:rsidR="00137D16" w:rsidRPr="00726A72" w:rsidRDefault="00137D16" w:rsidP="00624326">
      <w:pPr>
        <w:pStyle w:val="Heading1"/>
        <w:numPr>
          <w:ilvl w:val="0"/>
          <w:numId w:val="14"/>
        </w:numPr>
      </w:pPr>
      <w:bookmarkStart w:id="4" w:name="_Toc467155058"/>
      <w:bookmarkStart w:id="5" w:name="_Toc477777617"/>
      <w:r w:rsidRPr="00726A72">
        <w:t>Service Installatio</w:t>
      </w:r>
      <w:bookmarkEnd w:id="4"/>
      <w:bookmarkEnd w:id="5"/>
      <w:r w:rsidRPr="00726A72">
        <w:t>n</w:t>
      </w:r>
    </w:p>
    <w:p w14:paraId="6A1CF6AC" w14:textId="77777777" w:rsidR="00137D16" w:rsidRPr="0098073A" w:rsidRDefault="00137D16" w:rsidP="00624326">
      <w:pPr>
        <w:pStyle w:val="Heading2"/>
        <w:numPr>
          <w:ilvl w:val="1"/>
          <w:numId w:val="14"/>
        </w:numPr>
        <w:tabs>
          <w:tab w:val="left" w:pos="1620"/>
        </w:tabs>
        <w:ind w:left="1620"/>
      </w:pPr>
      <w:r w:rsidRPr="0098073A">
        <w:t>Guaranteed Install Interval</w:t>
      </w:r>
    </w:p>
    <w:p w14:paraId="7430201D" w14:textId="69CB9F12" w:rsidR="00137D16" w:rsidRDefault="00137D16" w:rsidP="00624326">
      <w:pPr>
        <w:pStyle w:val="Heading1para"/>
        <w:numPr>
          <w:ilvl w:val="0"/>
          <w:numId w:val="15"/>
        </w:numPr>
        <w:contextualSpacing/>
        <w:rPr>
          <w:szCs w:val="24"/>
        </w:rPr>
      </w:pPr>
      <w:r w:rsidRPr="00B93B03">
        <w:rPr>
          <w:szCs w:val="24"/>
        </w:rPr>
        <w:t xml:space="preserve">The Guaranteed Install Interval shall commence when </w:t>
      </w:r>
      <w:r w:rsidR="008A07E6">
        <w:rPr>
          <w:szCs w:val="24"/>
        </w:rPr>
        <w:t>WaTech</w:t>
      </w:r>
      <w:r w:rsidRPr="00B93B03">
        <w:rPr>
          <w:szCs w:val="24"/>
        </w:rPr>
        <w:t xml:space="preserve"> electronica</w:t>
      </w:r>
      <w:r w:rsidR="00CE6D71" w:rsidRPr="00B93B03">
        <w:rPr>
          <w:szCs w:val="24"/>
        </w:rPr>
        <w:t xml:space="preserve">lly sends the Tech Order to the </w:t>
      </w:r>
      <w:r w:rsidRPr="00B93B03">
        <w:rPr>
          <w:szCs w:val="24"/>
        </w:rPr>
        <w:t>Contractor, a Tech Order shall be provided to the Contractor within seven (7) days after receipt of the signed SOW.</w:t>
      </w:r>
    </w:p>
    <w:p w14:paraId="754CED7F" w14:textId="66253F5B" w:rsidR="009F597C" w:rsidRPr="009F597C" w:rsidRDefault="009F597C" w:rsidP="009F597C">
      <w:pPr>
        <w:pStyle w:val="Heading1para"/>
        <w:numPr>
          <w:ilvl w:val="0"/>
          <w:numId w:val="15"/>
        </w:numPr>
        <w:contextualSpacing/>
        <w:rPr>
          <w:szCs w:val="24"/>
        </w:rPr>
      </w:pPr>
      <w:r w:rsidRPr="00B93B03">
        <w:rPr>
          <w:szCs w:val="24"/>
        </w:rPr>
        <w:t xml:space="preserve">Order must be keyed within 48 hours from receiving </w:t>
      </w:r>
      <w:r w:rsidR="008A07E6">
        <w:rPr>
          <w:szCs w:val="24"/>
        </w:rPr>
        <w:t>WaTech’s</w:t>
      </w:r>
      <w:r w:rsidRPr="00B93B03">
        <w:rPr>
          <w:szCs w:val="24"/>
        </w:rPr>
        <w:t xml:space="preserve"> </w:t>
      </w:r>
      <w:r w:rsidR="00655431">
        <w:rPr>
          <w:szCs w:val="24"/>
        </w:rPr>
        <w:t xml:space="preserve">Tech </w:t>
      </w:r>
      <w:r w:rsidRPr="00B93B03">
        <w:rPr>
          <w:szCs w:val="24"/>
        </w:rPr>
        <w:t>Order</w:t>
      </w:r>
    </w:p>
    <w:p w14:paraId="23400FCF" w14:textId="60126F4C" w:rsidR="0085494E" w:rsidRPr="00B93B03" w:rsidRDefault="008A07E6" w:rsidP="00624326">
      <w:pPr>
        <w:pStyle w:val="Heading1para"/>
        <w:numPr>
          <w:ilvl w:val="0"/>
          <w:numId w:val="15"/>
        </w:numPr>
        <w:contextualSpacing/>
        <w:rPr>
          <w:szCs w:val="24"/>
        </w:rPr>
      </w:pPr>
      <w:r>
        <w:rPr>
          <w:szCs w:val="24"/>
        </w:rPr>
        <w:t>WaTech</w:t>
      </w:r>
      <w:r w:rsidR="007F4318" w:rsidRPr="00B93B03">
        <w:rPr>
          <w:szCs w:val="24"/>
        </w:rPr>
        <w:t xml:space="preserve"> </w:t>
      </w:r>
      <w:r w:rsidR="00102FFE" w:rsidRPr="00B93B03">
        <w:rPr>
          <w:szCs w:val="24"/>
        </w:rPr>
        <w:t>acknowledges</w:t>
      </w:r>
      <w:r w:rsidR="007F4318" w:rsidRPr="00B93B03">
        <w:rPr>
          <w:szCs w:val="24"/>
        </w:rPr>
        <w:t xml:space="preserve"> that p</w:t>
      </w:r>
      <w:r w:rsidR="00137D16" w:rsidRPr="00B93B03">
        <w:rPr>
          <w:szCs w:val="24"/>
        </w:rPr>
        <w:t>orting numbers add</w:t>
      </w:r>
      <w:r w:rsidR="007F4318" w:rsidRPr="00B93B03">
        <w:rPr>
          <w:szCs w:val="24"/>
        </w:rPr>
        <w:t>s</w:t>
      </w:r>
      <w:r w:rsidR="00137D16" w:rsidRPr="00B93B03">
        <w:rPr>
          <w:szCs w:val="24"/>
        </w:rPr>
        <w:t xml:space="preserve"> a significant a</w:t>
      </w:r>
      <w:r w:rsidR="007F4318" w:rsidRPr="00B93B03">
        <w:rPr>
          <w:szCs w:val="24"/>
        </w:rPr>
        <w:t>mount of t</w:t>
      </w:r>
      <w:r w:rsidR="00102FFE" w:rsidRPr="00B93B03">
        <w:rPr>
          <w:szCs w:val="24"/>
        </w:rPr>
        <w:t xml:space="preserve">ime to an order.  As a result, </w:t>
      </w:r>
      <w:r>
        <w:rPr>
          <w:szCs w:val="24"/>
        </w:rPr>
        <w:t>WaTech</w:t>
      </w:r>
      <w:r w:rsidR="007F4318" w:rsidRPr="00B93B03">
        <w:rPr>
          <w:szCs w:val="24"/>
        </w:rPr>
        <w:t xml:space="preserve"> will allow</w:t>
      </w:r>
      <w:r w:rsidR="00FE13E7" w:rsidRPr="00B93B03">
        <w:rPr>
          <w:szCs w:val="24"/>
        </w:rPr>
        <w:t xml:space="preserve"> 7-10 days to port between one and </w:t>
      </w:r>
      <w:proofErr w:type="gramStart"/>
      <w:r w:rsidR="00FE13E7" w:rsidRPr="00B93B03">
        <w:rPr>
          <w:szCs w:val="24"/>
        </w:rPr>
        <w:t>ninety nine</w:t>
      </w:r>
      <w:proofErr w:type="gramEnd"/>
      <w:r w:rsidR="007F4318" w:rsidRPr="00B93B03">
        <w:rPr>
          <w:szCs w:val="24"/>
        </w:rPr>
        <w:t xml:space="preserve"> </w:t>
      </w:r>
      <w:r w:rsidR="00137D16" w:rsidRPr="00B93B03">
        <w:rPr>
          <w:szCs w:val="24"/>
        </w:rPr>
        <w:t>numbers</w:t>
      </w:r>
      <w:r w:rsidR="00137D16" w:rsidRPr="00824BE4">
        <w:rPr>
          <w:szCs w:val="24"/>
        </w:rPr>
        <w:t xml:space="preserve">, while </w:t>
      </w:r>
      <w:r w:rsidR="00FE13E7" w:rsidRPr="00824BE4">
        <w:rPr>
          <w:szCs w:val="24"/>
        </w:rPr>
        <w:t>one hundred or more numbers ported</w:t>
      </w:r>
      <w:r w:rsidR="00137D16" w:rsidRPr="00824BE4">
        <w:rPr>
          <w:szCs w:val="24"/>
        </w:rPr>
        <w:t xml:space="preserve"> </w:t>
      </w:r>
      <w:r w:rsidR="007F4318" w:rsidRPr="00824BE4">
        <w:rPr>
          <w:szCs w:val="24"/>
        </w:rPr>
        <w:t xml:space="preserve">will be completed by vendor within </w:t>
      </w:r>
      <w:r w:rsidR="00137D16" w:rsidRPr="00824BE4">
        <w:rPr>
          <w:szCs w:val="24"/>
        </w:rPr>
        <w:t>30 days</w:t>
      </w:r>
      <w:r w:rsidR="00102FFE" w:rsidRPr="00824BE4">
        <w:rPr>
          <w:szCs w:val="24"/>
        </w:rPr>
        <w:t>.</w:t>
      </w:r>
    </w:p>
    <w:p w14:paraId="6BAB369D" w14:textId="6701C1F9" w:rsidR="00137D16" w:rsidRPr="00B93B03" w:rsidRDefault="007F4318" w:rsidP="00624326">
      <w:pPr>
        <w:pStyle w:val="Heading1para"/>
        <w:numPr>
          <w:ilvl w:val="0"/>
          <w:numId w:val="15"/>
        </w:numPr>
        <w:contextualSpacing/>
        <w:rPr>
          <w:szCs w:val="24"/>
        </w:rPr>
      </w:pPr>
      <w:r w:rsidRPr="00B93B03">
        <w:rPr>
          <w:szCs w:val="24"/>
        </w:rPr>
        <w:lastRenderedPageBreak/>
        <w:t xml:space="preserve">Vendor will proactively make </w:t>
      </w:r>
      <w:r w:rsidR="008A07E6">
        <w:rPr>
          <w:szCs w:val="24"/>
        </w:rPr>
        <w:t>WaTech</w:t>
      </w:r>
      <w:r w:rsidRPr="00B93B03">
        <w:rPr>
          <w:szCs w:val="24"/>
        </w:rPr>
        <w:t xml:space="preserve"> aware </w:t>
      </w:r>
      <w:r w:rsidR="00102FFE" w:rsidRPr="00B93B03">
        <w:rPr>
          <w:szCs w:val="24"/>
        </w:rPr>
        <w:t xml:space="preserve">of </w:t>
      </w:r>
      <w:r w:rsidRPr="00B93B03">
        <w:rPr>
          <w:szCs w:val="24"/>
        </w:rPr>
        <w:t>any restriction keeping the port order stalled</w:t>
      </w:r>
      <w:r w:rsidR="00102FFE" w:rsidRPr="00B93B03">
        <w:rPr>
          <w:szCs w:val="24"/>
        </w:rPr>
        <w:t xml:space="preserve">, </w:t>
      </w:r>
      <w:r w:rsidRPr="00B93B03">
        <w:rPr>
          <w:szCs w:val="24"/>
        </w:rPr>
        <w:t xml:space="preserve">such as: </w:t>
      </w:r>
      <w:r w:rsidR="00137D16" w:rsidRPr="00B93B03">
        <w:rPr>
          <w:szCs w:val="24"/>
        </w:rPr>
        <w:t xml:space="preserve">past due amounts, pending orders, mismatched mailing or physical addresses, company name, </w:t>
      </w:r>
      <w:r w:rsidR="00846C48" w:rsidRPr="00B93B03">
        <w:rPr>
          <w:szCs w:val="24"/>
        </w:rPr>
        <w:t>un</w:t>
      </w:r>
      <w:r w:rsidR="00137D16" w:rsidRPr="00B93B03">
        <w:rPr>
          <w:szCs w:val="24"/>
        </w:rPr>
        <w:t xml:space="preserve">authorized signer of LOA, </w:t>
      </w:r>
      <w:proofErr w:type="gramStart"/>
      <w:r w:rsidR="00CF09A7" w:rsidRPr="00B93B03">
        <w:rPr>
          <w:szCs w:val="24"/>
        </w:rPr>
        <w:t xml:space="preserve">mismatched </w:t>
      </w:r>
      <w:r w:rsidR="00137D16" w:rsidRPr="00B93B03">
        <w:rPr>
          <w:szCs w:val="24"/>
        </w:rPr>
        <w:t xml:space="preserve"> numbers</w:t>
      </w:r>
      <w:proofErr w:type="gramEnd"/>
      <w:r w:rsidR="00137D16" w:rsidRPr="00B93B03">
        <w:rPr>
          <w:szCs w:val="24"/>
        </w:rPr>
        <w:t xml:space="preserve"> on the Letter of Agency compared to the incumbent carrier’s data bases and Customer Service Records.</w:t>
      </w:r>
    </w:p>
    <w:p w14:paraId="225B0AA4" w14:textId="77777777" w:rsidR="00137D16" w:rsidRPr="0098073A" w:rsidRDefault="00137D16" w:rsidP="00624326">
      <w:pPr>
        <w:pStyle w:val="Heading2"/>
        <w:numPr>
          <w:ilvl w:val="1"/>
          <w:numId w:val="14"/>
        </w:numPr>
        <w:tabs>
          <w:tab w:val="left" w:pos="1620"/>
        </w:tabs>
        <w:ind w:left="1620"/>
      </w:pPr>
      <w:r w:rsidRPr="0098073A">
        <w:t>Remedies for Miss</w:t>
      </w:r>
      <w:r w:rsidR="0098073A">
        <w:t>ed Guaranteed Install Interval</w:t>
      </w:r>
    </w:p>
    <w:p w14:paraId="19B3F4BF" w14:textId="5818FDBE" w:rsidR="00137D16" w:rsidRPr="00B93B03" w:rsidRDefault="00137D16" w:rsidP="00624326">
      <w:pPr>
        <w:pStyle w:val="Heading1para"/>
        <w:numPr>
          <w:ilvl w:val="0"/>
          <w:numId w:val="17"/>
        </w:numPr>
        <w:contextualSpacing/>
        <w:rPr>
          <w:szCs w:val="24"/>
        </w:rPr>
      </w:pPr>
      <w:r w:rsidRPr="00B93B03">
        <w:rPr>
          <w:szCs w:val="24"/>
        </w:rPr>
        <w:t xml:space="preserve">For every day past the Guaranteed Install Interval that the </w:t>
      </w:r>
      <w:r w:rsidR="00866C7A">
        <w:rPr>
          <w:szCs w:val="24"/>
        </w:rPr>
        <w:t>S</w:t>
      </w:r>
      <w:r w:rsidR="009F597C">
        <w:rPr>
          <w:szCs w:val="24"/>
        </w:rPr>
        <w:t>ervice</w:t>
      </w:r>
      <w:r w:rsidR="009F597C" w:rsidRPr="00B93B03">
        <w:rPr>
          <w:szCs w:val="24"/>
        </w:rPr>
        <w:t xml:space="preserve"> </w:t>
      </w:r>
      <w:r w:rsidRPr="00B93B03">
        <w:rPr>
          <w:szCs w:val="24"/>
        </w:rPr>
        <w:t xml:space="preserve">is not delivered to </w:t>
      </w:r>
      <w:r w:rsidR="008A07E6">
        <w:rPr>
          <w:szCs w:val="24"/>
        </w:rPr>
        <w:t>WaTech</w:t>
      </w:r>
      <w:r w:rsidRPr="00B93B03">
        <w:rPr>
          <w:szCs w:val="24"/>
        </w:rPr>
        <w:t xml:space="preserve">, Contractor will credit five percent (5%) of the Contractor’s MRC for that </w:t>
      </w:r>
      <w:r w:rsidR="00866C7A">
        <w:rPr>
          <w:szCs w:val="24"/>
        </w:rPr>
        <w:t>Service</w:t>
      </w:r>
      <w:r w:rsidRPr="00B93B03">
        <w:rPr>
          <w:szCs w:val="24"/>
        </w:rPr>
        <w:t xml:space="preserve"> for each day until the Service is delivered to </w:t>
      </w:r>
      <w:r w:rsidR="008A07E6">
        <w:rPr>
          <w:szCs w:val="24"/>
        </w:rPr>
        <w:t>WaTech</w:t>
      </w:r>
      <w:r w:rsidRPr="00B93B03">
        <w:rPr>
          <w:szCs w:val="24"/>
        </w:rPr>
        <w:t xml:space="preserve">. Credits awarded under this section shall not </w:t>
      </w:r>
      <w:r w:rsidR="000C72A5" w:rsidRPr="00B93B03">
        <w:rPr>
          <w:szCs w:val="24"/>
        </w:rPr>
        <w:t>exceed</w:t>
      </w:r>
      <w:r w:rsidRPr="00B93B03">
        <w:rPr>
          <w:szCs w:val="24"/>
        </w:rPr>
        <w:t xml:space="preserve"> one month of the MRC unless the install interva</w:t>
      </w:r>
      <w:r w:rsidR="0098073A" w:rsidRPr="00B93B03">
        <w:rPr>
          <w:szCs w:val="24"/>
        </w:rPr>
        <w:t>l takes more than one month.</w:t>
      </w:r>
    </w:p>
    <w:p w14:paraId="318065D0" w14:textId="0501DD7F" w:rsidR="00137D16" w:rsidRPr="0098073A" w:rsidRDefault="00137D16" w:rsidP="00624326">
      <w:pPr>
        <w:pStyle w:val="Heading1para"/>
        <w:numPr>
          <w:ilvl w:val="0"/>
          <w:numId w:val="17"/>
        </w:numPr>
        <w:contextualSpacing/>
      </w:pPr>
      <w:r w:rsidRPr="00B93B03">
        <w:rPr>
          <w:szCs w:val="24"/>
        </w:rPr>
        <w:t xml:space="preserve">In the event Contractor misses the Guaranteed Install Interval for one or multiple </w:t>
      </w:r>
      <w:r w:rsidR="004E4DDF">
        <w:rPr>
          <w:szCs w:val="24"/>
        </w:rPr>
        <w:t>Service</w:t>
      </w:r>
      <w:r w:rsidRPr="00B93B03">
        <w:rPr>
          <w:szCs w:val="24"/>
        </w:rPr>
        <w:t xml:space="preserve">s on a SOW by more than </w:t>
      </w:r>
      <w:r w:rsidR="0094537A">
        <w:rPr>
          <w:szCs w:val="24"/>
        </w:rPr>
        <w:t>thirty</w:t>
      </w:r>
      <w:r w:rsidR="0094537A" w:rsidRPr="00B93B03">
        <w:rPr>
          <w:szCs w:val="24"/>
        </w:rPr>
        <w:t xml:space="preserve"> </w:t>
      </w:r>
      <w:r w:rsidRPr="00B93B03">
        <w:rPr>
          <w:szCs w:val="24"/>
        </w:rPr>
        <w:t>(</w:t>
      </w:r>
      <w:r w:rsidR="0094537A">
        <w:rPr>
          <w:szCs w:val="24"/>
        </w:rPr>
        <w:t>30</w:t>
      </w:r>
      <w:r w:rsidRPr="00B93B03">
        <w:rPr>
          <w:szCs w:val="24"/>
        </w:rPr>
        <w:t xml:space="preserve">) days, they will be ineligible to participate in future or in progress </w:t>
      </w:r>
      <w:r w:rsidR="008A07E6">
        <w:rPr>
          <w:szCs w:val="24"/>
        </w:rPr>
        <w:t>WaTech</w:t>
      </w:r>
      <w:r w:rsidRPr="00B93B03">
        <w:rPr>
          <w:szCs w:val="24"/>
        </w:rPr>
        <w:t xml:space="preserve"> Procurements</w:t>
      </w:r>
      <w:r w:rsidR="0094537A">
        <w:rPr>
          <w:szCs w:val="24"/>
        </w:rPr>
        <w:t xml:space="preserve"> on this addendum</w:t>
      </w:r>
      <w:r w:rsidRPr="00B93B03">
        <w:rPr>
          <w:szCs w:val="24"/>
        </w:rPr>
        <w:t xml:space="preserve"> until </w:t>
      </w:r>
      <w:r w:rsidR="008A07E6">
        <w:rPr>
          <w:szCs w:val="24"/>
        </w:rPr>
        <w:t>WaTech</w:t>
      </w:r>
      <w:r w:rsidRPr="00B93B03">
        <w:rPr>
          <w:szCs w:val="24"/>
        </w:rPr>
        <w:t xml:space="preserve"> </w:t>
      </w:r>
      <w:r w:rsidR="000C72A5" w:rsidRPr="00B93B03">
        <w:rPr>
          <w:szCs w:val="24"/>
        </w:rPr>
        <w:t>receives</w:t>
      </w:r>
      <w:r w:rsidRPr="00B93B03">
        <w:rPr>
          <w:szCs w:val="24"/>
        </w:rPr>
        <w:t xml:space="preserve"> Service at the site in question. The resultant loss of status will be escalated to the </w:t>
      </w:r>
      <w:r w:rsidR="008A07E6">
        <w:rPr>
          <w:szCs w:val="24"/>
        </w:rPr>
        <w:t>WaTech</w:t>
      </w:r>
      <w:r w:rsidRPr="00B93B03">
        <w:rPr>
          <w:szCs w:val="24"/>
        </w:rPr>
        <w:t xml:space="preserve"> </w:t>
      </w:r>
      <w:r w:rsidR="00EA7ABB">
        <w:rPr>
          <w:szCs w:val="24"/>
        </w:rPr>
        <w:t>Contracts and Procurements Manager</w:t>
      </w:r>
      <w:r w:rsidRPr="00B93B03">
        <w:rPr>
          <w:szCs w:val="24"/>
        </w:rPr>
        <w:t xml:space="preserve">, the Network Services Division Assistant Director, and the supervisor’s supervisor of </w:t>
      </w:r>
      <w:proofErr w:type="gramStart"/>
      <w:r w:rsidRPr="00B93B03">
        <w:rPr>
          <w:szCs w:val="24"/>
        </w:rPr>
        <w:t>the sales</w:t>
      </w:r>
      <w:proofErr w:type="gramEnd"/>
      <w:r w:rsidRPr="00B93B03">
        <w:rPr>
          <w:szCs w:val="24"/>
        </w:rPr>
        <w:t xml:space="preserve"> staff</w:t>
      </w:r>
      <w:r w:rsidRPr="0098073A">
        <w:t xml:space="preserve"> involved as stated in the </w:t>
      </w:r>
      <w:r w:rsidR="00C15110">
        <w:t>Network</w:t>
      </w:r>
      <w:r w:rsidRPr="0098073A">
        <w:t xml:space="preserve"> Services Agreement.</w:t>
      </w:r>
    </w:p>
    <w:p w14:paraId="25CE9882" w14:textId="77777777" w:rsidR="00137D16" w:rsidRPr="0098073A" w:rsidRDefault="00137D16" w:rsidP="00624326">
      <w:pPr>
        <w:pStyle w:val="Heading2"/>
        <w:numPr>
          <w:ilvl w:val="1"/>
          <w:numId w:val="14"/>
        </w:numPr>
        <w:tabs>
          <w:tab w:val="left" w:pos="1620"/>
        </w:tabs>
        <w:ind w:left="1620"/>
      </w:pPr>
      <w:r w:rsidRPr="0098073A">
        <w:t>Service Installation Fees</w:t>
      </w:r>
    </w:p>
    <w:p w14:paraId="01BD72B2" w14:textId="5A766DD9" w:rsidR="00137D16" w:rsidRPr="00B93B03" w:rsidRDefault="00137D16" w:rsidP="00624326">
      <w:pPr>
        <w:pStyle w:val="Heading1para"/>
        <w:numPr>
          <w:ilvl w:val="0"/>
          <w:numId w:val="16"/>
        </w:numPr>
        <w:contextualSpacing/>
        <w:rPr>
          <w:szCs w:val="24"/>
        </w:rPr>
      </w:pPr>
      <w:r w:rsidRPr="00B93B03">
        <w:rPr>
          <w:szCs w:val="24"/>
        </w:rPr>
        <w:t xml:space="preserve">Except as may be otherwise agreed by the Parties in the applicable Statement of Work, Contractor shall not charge fees for any re-performance caused by Contractor’s error or breach or to remedy any non-conformity as may be designated by </w:t>
      </w:r>
      <w:r w:rsidR="008A07E6">
        <w:rPr>
          <w:szCs w:val="24"/>
        </w:rPr>
        <w:t>WaTech</w:t>
      </w:r>
      <w:r w:rsidRPr="00B93B03">
        <w:rPr>
          <w:szCs w:val="24"/>
        </w:rPr>
        <w:t>.</w:t>
      </w:r>
    </w:p>
    <w:p w14:paraId="5BE5C45E" w14:textId="00C7DF1D" w:rsidR="00137D16" w:rsidRPr="00B93B03" w:rsidRDefault="00137D16" w:rsidP="00624326">
      <w:pPr>
        <w:pStyle w:val="Heading1para"/>
        <w:numPr>
          <w:ilvl w:val="0"/>
          <w:numId w:val="16"/>
        </w:numPr>
        <w:contextualSpacing/>
        <w:rPr>
          <w:szCs w:val="24"/>
        </w:rPr>
      </w:pPr>
      <w:r w:rsidRPr="00B93B03">
        <w:rPr>
          <w:szCs w:val="24"/>
        </w:rPr>
        <w:t xml:space="preserve">Contractors are responsible for installation of </w:t>
      </w:r>
      <w:r w:rsidR="004E4DDF">
        <w:rPr>
          <w:szCs w:val="24"/>
        </w:rPr>
        <w:t>Service</w:t>
      </w:r>
      <w:r w:rsidRPr="00B93B03">
        <w:rPr>
          <w:szCs w:val="24"/>
        </w:rPr>
        <w:t xml:space="preserve"> to the location specified in the </w:t>
      </w:r>
      <w:r w:rsidR="008A07E6">
        <w:rPr>
          <w:szCs w:val="24"/>
        </w:rPr>
        <w:t>WaTech</w:t>
      </w:r>
      <w:r w:rsidRPr="00B93B03">
        <w:rPr>
          <w:szCs w:val="24"/>
        </w:rPr>
        <w:t xml:space="preserve"> Procurement Document and all costs associated with said installation must be included in the Contractor’s Response.  Any additional costs not stated in its Response shall be the responsibility of the Contractor.</w:t>
      </w:r>
    </w:p>
    <w:p w14:paraId="18AB42B7" w14:textId="77777777" w:rsidR="00137D16" w:rsidRPr="0098073A" w:rsidRDefault="00FC2549" w:rsidP="00624326">
      <w:pPr>
        <w:pStyle w:val="Heading2"/>
        <w:numPr>
          <w:ilvl w:val="1"/>
          <w:numId w:val="14"/>
        </w:numPr>
        <w:tabs>
          <w:tab w:val="left" w:pos="1620"/>
        </w:tabs>
        <w:ind w:left="1620"/>
      </w:pPr>
      <w:r w:rsidRPr="0098073A">
        <w:t>Wee</w:t>
      </w:r>
      <w:r w:rsidR="00137D16" w:rsidRPr="0098073A">
        <w:t>kly Updates</w:t>
      </w:r>
    </w:p>
    <w:p w14:paraId="7D2B148F" w14:textId="07890165" w:rsidR="00137D16" w:rsidRPr="0098073A" w:rsidRDefault="00137D16" w:rsidP="0098073A">
      <w:pPr>
        <w:pStyle w:val="Heading2"/>
        <w:tabs>
          <w:tab w:val="left" w:pos="1620"/>
        </w:tabs>
        <w:ind w:left="1620"/>
      </w:pPr>
      <w:r w:rsidRPr="0098073A">
        <w:t xml:space="preserve">The Contractor will provide weekly updates detailing the progress made for </w:t>
      </w:r>
      <w:r w:rsidR="004E4DDF">
        <w:t>Service</w:t>
      </w:r>
      <w:r w:rsidRPr="0098073A">
        <w:t xml:space="preserve"> installation with estimated timeframes for major milestones.  These updates will be delivered via email.  In addition, the Contractor will participate in a recurring conference call with </w:t>
      </w:r>
      <w:r w:rsidR="008A07E6">
        <w:t>WaTech</w:t>
      </w:r>
      <w:r w:rsidRPr="0098073A">
        <w:t>.</w:t>
      </w:r>
    </w:p>
    <w:p w14:paraId="78C0A6FC" w14:textId="77777777" w:rsidR="00137D16" w:rsidRPr="0098073A" w:rsidRDefault="00137D16" w:rsidP="00624326">
      <w:pPr>
        <w:pStyle w:val="Heading2"/>
        <w:numPr>
          <w:ilvl w:val="1"/>
          <w:numId w:val="14"/>
        </w:numPr>
        <w:tabs>
          <w:tab w:val="left" w:pos="1620"/>
        </w:tabs>
        <w:ind w:left="1620"/>
      </w:pPr>
      <w:bookmarkStart w:id="6" w:name="_Toc466906368"/>
      <w:r w:rsidRPr="0098073A">
        <w:t>Contractor Demarcation Poin</w:t>
      </w:r>
      <w:bookmarkEnd w:id="6"/>
      <w:r w:rsidRPr="0098073A">
        <w:t>t</w:t>
      </w:r>
    </w:p>
    <w:p w14:paraId="11D30743" w14:textId="638F4DE2" w:rsidR="00137D16" w:rsidRPr="0098073A" w:rsidRDefault="00137D16" w:rsidP="0098073A">
      <w:pPr>
        <w:pStyle w:val="Heading2"/>
        <w:tabs>
          <w:tab w:val="left" w:pos="1620"/>
        </w:tabs>
        <w:ind w:left="1620"/>
      </w:pPr>
      <w:r w:rsidRPr="007B40F9">
        <w:t xml:space="preserve">If </w:t>
      </w:r>
      <w:r w:rsidR="008A07E6">
        <w:t>WaTech</w:t>
      </w:r>
      <w:r w:rsidRPr="007B40F9">
        <w:t xml:space="preserve"> requests an extended Contractor Demarcation Point – Contractor is responsible for installing, maintaining, and servicing of the extended d-mark including but not limited to cabling, telecommunications equipment, and any work done by a Subcontractor.</w:t>
      </w:r>
    </w:p>
    <w:p w14:paraId="67CA569A" w14:textId="77777777" w:rsidR="00137D16" w:rsidRPr="0098073A" w:rsidRDefault="00137D16" w:rsidP="00624326">
      <w:pPr>
        <w:pStyle w:val="Heading2"/>
        <w:numPr>
          <w:ilvl w:val="1"/>
          <w:numId w:val="14"/>
        </w:numPr>
        <w:tabs>
          <w:tab w:val="left" w:pos="1620"/>
        </w:tabs>
        <w:ind w:left="1620"/>
      </w:pPr>
      <w:r w:rsidRPr="0098073A">
        <w:t>Circuit Handoff</w:t>
      </w:r>
    </w:p>
    <w:p w14:paraId="586933CD" w14:textId="59125CAF" w:rsidR="00137D16" w:rsidRPr="0098073A" w:rsidRDefault="00137D16" w:rsidP="0098073A">
      <w:pPr>
        <w:pStyle w:val="Heading2"/>
        <w:tabs>
          <w:tab w:val="left" w:pos="1620"/>
        </w:tabs>
        <w:ind w:left="1620"/>
      </w:pPr>
      <w:r w:rsidRPr="0098073A">
        <w:t xml:space="preserve">Unless otherwise stated in the </w:t>
      </w:r>
      <w:r w:rsidR="008A07E6">
        <w:t>WaTech</w:t>
      </w:r>
      <w:r w:rsidRPr="0098073A">
        <w:t xml:space="preserve"> Procurement Document, all circuits will be delivered as an Electrical/Copper connections.</w:t>
      </w:r>
    </w:p>
    <w:p w14:paraId="56F521DA" w14:textId="52E7D5F6" w:rsidR="00137D16" w:rsidRPr="00726A72" w:rsidRDefault="00B65FB5" w:rsidP="00624326">
      <w:pPr>
        <w:pStyle w:val="Heading1"/>
        <w:numPr>
          <w:ilvl w:val="0"/>
          <w:numId w:val="14"/>
        </w:numPr>
      </w:pPr>
      <w:bookmarkStart w:id="7" w:name="_Toc301182374"/>
      <w:bookmarkStart w:id="8" w:name="_Toc301535930"/>
      <w:bookmarkStart w:id="9" w:name="_Toc301536881"/>
      <w:bookmarkStart w:id="10" w:name="_Toc303949000"/>
      <w:bookmarkStart w:id="11" w:name="_Toc309299759"/>
      <w:bookmarkStart w:id="12" w:name="_Toc309300956"/>
      <w:bookmarkStart w:id="13" w:name="_Toc309725739"/>
      <w:bookmarkStart w:id="14" w:name="_Toc309726424"/>
      <w:r>
        <w:lastRenderedPageBreak/>
        <w:t xml:space="preserve">Tech </w:t>
      </w:r>
      <w:r w:rsidRPr="00726A72">
        <w:t xml:space="preserve">Order Processing for </w:t>
      </w:r>
      <w:r w:rsidR="00C0699E">
        <w:t xml:space="preserve">PRI </w:t>
      </w:r>
      <w:r w:rsidR="009B3DFC">
        <w:t>T-1</w:t>
      </w:r>
      <w:r w:rsidR="007641BE">
        <w:t xml:space="preserve"> </w:t>
      </w:r>
    </w:p>
    <w:p w14:paraId="152094FE" w14:textId="5DFEF692" w:rsidR="00137D16" w:rsidRPr="00B8328C" w:rsidRDefault="008A07E6" w:rsidP="00B8328C">
      <w:pPr>
        <w:pStyle w:val="Heading2"/>
        <w:tabs>
          <w:tab w:val="left" w:pos="1620"/>
        </w:tabs>
        <w:ind w:left="720"/>
      </w:pPr>
      <w:bookmarkStart w:id="15" w:name="_Toc339551443"/>
      <w:bookmarkStart w:id="16" w:name="_Toc373330886"/>
      <w:bookmarkStart w:id="17" w:name="_Toc373850673"/>
      <w:bookmarkStart w:id="18" w:name="_Toc374517520"/>
      <w:bookmarkStart w:id="19" w:name="_Toc461190694"/>
      <w:bookmarkStart w:id="20" w:name="_Toc310957461"/>
      <w:bookmarkStart w:id="21" w:name="_Toc311318102"/>
      <w:r>
        <w:t>WaTech</w:t>
      </w:r>
      <w:r w:rsidR="00137D16" w:rsidRPr="00B8328C">
        <w:t xml:space="preserve"> will take orders from </w:t>
      </w:r>
      <w:r>
        <w:t>WaTech</w:t>
      </w:r>
      <w:r w:rsidR="00137D16" w:rsidRPr="00B8328C">
        <w:t xml:space="preserve"> customers, record the orders in the </w:t>
      </w:r>
      <w:r>
        <w:t>WaTech</w:t>
      </w:r>
      <w:r w:rsidR="00137D16" w:rsidRPr="00B8328C">
        <w:t xml:space="preserve"> billing system, and transmit </w:t>
      </w:r>
      <w:r w:rsidR="00295139">
        <w:t>a Tech</w:t>
      </w:r>
      <w:r w:rsidR="00295139" w:rsidRPr="00B8328C">
        <w:t xml:space="preserve"> </w:t>
      </w:r>
      <w:r w:rsidR="00295139">
        <w:t>O</w:t>
      </w:r>
      <w:r w:rsidR="00137D16" w:rsidRPr="00B8328C">
        <w:t>rder to the vendor.  The vendor must provide a procedure for transmitting, processing, tracking and implementing orders.</w:t>
      </w:r>
      <w:bookmarkEnd w:id="15"/>
      <w:bookmarkEnd w:id="16"/>
      <w:bookmarkEnd w:id="17"/>
      <w:bookmarkEnd w:id="18"/>
      <w:bookmarkEnd w:id="19"/>
      <w:r w:rsidR="00137D16" w:rsidRPr="00B8328C">
        <w:t xml:space="preserve">  </w:t>
      </w:r>
      <w:bookmarkEnd w:id="7"/>
      <w:bookmarkEnd w:id="8"/>
      <w:bookmarkEnd w:id="9"/>
      <w:bookmarkEnd w:id="10"/>
      <w:bookmarkEnd w:id="11"/>
      <w:bookmarkEnd w:id="12"/>
      <w:bookmarkEnd w:id="13"/>
      <w:bookmarkEnd w:id="14"/>
      <w:bookmarkEnd w:id="20"/>
      <w:bookmarkEnd w:id="21"/>
    </w:p>
    <w:p w14:paraId="1E00A439" w14:textId="77777777" w:rsidR="00B8328C" w:rsidRDefault="000402AA" w:rsidP="00624326">
      <w:pPr>
        <w:pStyle w:val="Heading2"/>
        <w:numPr>
          <w:ilvl w:val="1"/>
          <w:numId w:val="14"/>
        </w:numPr>
        <w:tabs>
          <w:tab w:val="left" w:pos="1620"/>
        </w:tabs>
        <w:ind w:left="1620"/>
      </w:pPr>
      <w:r>
        <w:t>PRI Orders:</w:t>
      </w:r>
    </w:p>
    <w:p w14:paraId="19A8F148" w14:textId="77777777" w:rsidR="000477EA" w:rsidRPr="00B8328C" w:rsidRDefault="000477EA" w:rsidP="000477EA">
      <w:pPr>
        <w:pStyle w:val="Heading2"/>
        <w:tabs>
          <w:tab w:val="left" w:pos="1620"/>
        </w:tabs>
        <w:ind w:left="1620"/>
      </w:pPr>
      <w:r w:rsidRPr="00B8328C">
        <w:t xml:space="preserve">PRI’s can be ordered in </w:t>
      </w:r>
      <w:r w:rsidR="000B310C">
        <w:t xml:space="preserve">two </w:t>
      </w:r>
      <w:r w:rsidRPr="00B8328C">
        <w:t xml:space="preserve"> ways.  Vendor will be able to accommodate both.</w:t>
      </w:r>
    </w:p>
    <w:p w14:paraId="013D1114" w14:textId="77777777" w:rsidR="000477EA" w:rsidRPr="00B8328C" w:rsidRDefault="000477EA" w:rsidP="000477EA">
      <w:pPr>
        <w:pStyle w:val="Heading1para"/>
        <w:numPr>
          <w:ilvl w:val="0"/>
          <w:numId w:val="19"/>
        </w:numPr>
        <w:contextualSpacing/>
        <w:rPr>
          <w:szCs w:val="22"/>
        </w:rPr>
      </w:pPr>
      <w:r w:rsidRPr="00B8328C">
        <w:rPr>
          <w:szCs w:val="22"/>
        </w:rPr>
        <w:t xml:space="preserve">A PRI is ordered to provide </w:t>
      </w:r>
      <w:r>
        <w:rPr>
          <w:szCs w:val="22"/>
        </w:rPr>
        <w:t>Service</w:t>
      </w:r>
      <w:r w:rsidRPr="00B8328C">
        <w:rPr>
          <w:szCs w:val="22"/>
        </w:rPr>
        <w:t xml:space="preserve"> at the end user address, typically delivered via a T-1.</w:t>
      </w:r>
    </w:p>
    <w:p w14:paraId="1EC4EF67" w14:textId="77777777" w:rsidR="000477EA" w:rsidRPr="00B8328C" w:rsidRDefault="000477EA" w:rsidP="000477EA">
      <w:pPr>
        <w:pStyle w:val="ListParagraph"/>
        <w:numPr>
          <w:ilvl w:val="2"/>
          <w:numId w:val="10"/>
        </w:numPr>
        <w:rPr>
          <w:rFonts w:eastAsiaTheme="minorHAnsi"/>
          <w:szCs w:val="22"/>
        </w:rPr>
      </w:pPr>
      <w:r w:rsidRPr="00B8328C">
        <w:rPr>
          <w:rFonts w:eastAsiaTheme="minorHAnsi"/>
          <w:szCs w:val="22"/>
        </w:rPr>
        <w:t xml:space="preserve">The PRI will have only </w:t>
      </w:r>
      <w:r w:rsidR="000B310C">
        <w:rPr>
          <w:rFonts w:eastAsiaTheme="minorHAnsi"/>
          <w:szCs w:val="22"/>
        </w:rPr>
        <w:t>one</w:t>
      </w:r>
      <w:r w:rsidRPr="00B8328C">
        <w:rPr>
          <w:rFonts w:eastAsiaTheme="minorHAnsi"/>
          <w:szCs w:val="22"/>
        </w:rPr>
        <w:t xml:space="preserve"> </w:t>
      </w:r>
      <w:r>
        <w:rPr>
          <w:rFonts w:eastAsiaTheme="minorHAnsi"/>
          <w:szCs w:val="22"/>
        </w:rPr>
        <w:t>Service</w:t>
      </w:r>
      <w:r w:rsidRPr="00B8328C">
        <w:rPr>
          <w:rFonts w:eastAsiaTheme="minorHAnsi"/>
          <w:szCs w:val="22"/>
        </w:rPr>
        <w:t xml:space="preserve"> address.</w:t>
      </w:r>
    </w:p>
    <w:p w14:paraId="042112AC" w14:textId="77777777" w:rsidR="000477EA" w:rsidRPr="00B8328C" w:rsidRDefault="000477EA" w:rsidP="000477EA">
      <w:pPr>
        <w:pStyle w:val="Heading1para"/>
        <w:numPr>
          <w:ilvl w:val="0"/>
          <w:numId w:val="19"/>
        </w:numPr>
        <w:contextualSpacing/>
        <w:rPr>
          <w:szCs w:val="22"/>
        </w:rPr>
      </w:pPr>
      <w:r w:rsidRPr="00B8328C">
        <w:rPr>
          <w:szCs w:val="22"/>
        </w:rPr>
        <w:t xml:space="preserve">A PRI can be ordered from an existing higher capacity facility, typically </w:t>
      </w:r>
      <w:proofErr w:type="spellStart"/>
      <w:r w:rsidRPr="00B8328C">
        <w:rPr>
          <w:szCs w:val="22"/>
        </w:rPr>
        <w:t>muxed</w:t>
      </w:r>
      <w:proofErr w:type="spellEnd"/>
      <w:r w:rsidRPr="00B8328C">
        <w:rPr>
          <w:szCs w:val="22"/>
        </w:rPr>
        <w:t xml:space="preserve"> </w:t>
      </w:r>
      <w:r>
        <w:rPr>
          <w:szCs w:val="22"/>
        </w:rPr>
        <w:t>and/</w:t>
      </w:r>
      <w:r w:rsidRPr="00B8328C">
        <w:rPr>
          <w:szCs w:val="22"/>
        </w:rPr>
        <w:t xml:space="preserve">or </w:t>
      </w:r>
      <w:r>
        <w:rPr>
          <w:szCs w:val="22"/>
        </w:rPr>
        <w:t>C</w:t>
      </w:r>
      <w:r w:rsidRPr="00B8328C">
        <w:rPr>
          <w:szCs w:val="22"/>
        </w:rPr>
        <w:t>hannelized</w:t>
      </w:r>
      <w:r>
        <w:rPr>
          <w:szCs w:val="22"/>
        </w:rPr>
        <w:t>.</w:t>
      </w:r>
      <w:r w:rsidRPr="00B8328C">
        <w:rPr>
          <w:szCs w:val="22"/>
        </w:rPr>
        <w:t xml:space="preserve"> </w:t>
      </w:r>
    </w:p>
    <w:p w14:paraId="03D5FDB5" w14:textId="77777777" w:rsidR="000477EA" w:rsidRPr="00B8328C" w:rsidRDefault="000477EA" w:rsidP="000477EA">
      <w:pPr>
        <w:pStyle w:val="ListParagraph"/>
        <w:numPr>
          <w:ilvl w:val="2"/>
          <w:numId w:val="10"/>
        </w:numPr>
        <w:rPr>
          <w:rFonts w:eastAsiaTheme="minorHAnsi"/>
          <w:szCs w:val="22"/>
        </w:rPr>
      </w:pPr>
      <w:r w:rsidRPr="00B8328C">
        <w:rPr>
          <w:rFonts w:eastAsiaTheme="minorHAnsi"/>
          <w:szCs w:val="22"/>
        </w:rPr>
        <w:t>DS-3.  The PRI can be provided by the same vendor as the DS-3 or a different vendor.  The vendor will assign a CFA or slot on the DS-3 to the PRI.</w:t>
      </w:r>
    </w:p>
    <w:p w14:paraId="4372C0D6" w14:textId="77777777" w:rsidR="000477EA" w:rsidRPr="00B8328C" w:rsidRDefault="000477EA" w:rsidP="000477EA">
      <w:pPr>
        <w:pStyle w:val="ListParagraph"/>
        <w:numPr>
          <w:ilvl w:val="2"/>
          <w:numId w:val="10"/>
        </w:numPr>
        <w:rPr>
          <w:rFonts w:eastAsiaTheme="minorHAnsi"/>
          <w:szCs w:val="22"/>
        </w:rPr>
      </w:pPr>
      <w:r w:rsidRPr="00B8328C">
        <w:rPr>
          <w:rFonts w:eastAsiaTheme="minorHAnsi"/>
          <w:szCs w:val="22"/>
        </w:rPr>
        <w:t xml:space="preserve">A CFA PRI will be provided </w:t>
      </w:r>
      <w:r w:rsidR="000B310C">
        <w:rPr>
          <w:rFonts w:eastAsiaTheme="minorHAnsi"/>
          <w:szCs w:val="22"/>
        </w:rPr>
        <w:t>two</w:t>
      </w:r>
      <w:r w:rsidRPr="00B8328C">
        <w:rPr>
          <w:rFonts w:eastAsiaTheme="minorHAnsi"/>
          <w:szCs w:val="22"/>
        </w:rPr>
        <w:t xml:space="preserve"> addresses by the vendor; the DS-3 address or “A” loc and the PRI </w:t>
      </w:r>
      <w:r>
        <w:rPr>
          <w:rFonts w:eastAsiaTheme="minorHAnsi"/>
          <w:szCs w:val="22"/>
        </w:rPr>
        <w:t>Service</w:t>
      </w:r>
      <w:r w:rsidRPr="00B8328C">
        <w:rPr>
          <w:rFonts w:eastAsiaTheme="minorHAnsi"/>
          <w:szCs w:val="22"/>
        </w:rPr>
        <w:t xml:space="preserve"> address or “Z” loc.</w:t>
      </w:r>
    </w:p>
    <w:p w14:paraId="245CBD27" w14:textId="77777777" w:rsidR="000477EA" w:rsidRPr="003456D1" w:rsidRDefault="000477EA" w:rsidP="000477EA">
      <w:pPr>
        <w:pStyle w:val="Heading2"/>
        <w:numPr>
          <w:ilvl w:val="1"/>
          <w:numId w:val="14"/>
        </w:numPr>
        <w:tabs>
          <w:tab w:val="left" w:pos="1620"/>
        </w:tabs>
        <w:ind w:left="1620"/>
      </w:pPr>
      <w:r w:rsidRPr="003456D1">
        <w:t xml:space="preserve">Vendor’s solution must be provided by a Local Exchange Carrier (LEC) or Competitive Local Exchange Carrier (CLEC) recognized by the Washington State Utilities and Transportation Commission (UTC).  The </w:t>
      </w:r>
      <w:r>
        <w:t>Service</w:t>
      </w:r>
      <w:r w:rsidRPr="003456D1">
        <w:t xml:space="preserve"> provider must maintain status as a UTC recognized LEC or CLEC throughout the term of the contract and any subsequent extension.</w:t>
      </w:r>
    </w:p>
    <w:p w14:paraId="14D15670" w14:textId="77777777" w:rsidR="000477EA" w:rsidRDefault="000477EA" w:rsidP="00624326">
      <w:pPr>
        <w:pStyle w:val="Heading2"/>
        <w:numPr>
          <w:ilvl w:val="1"/>
          <w:numId w:val="14"/>
        </w:numPr>
        <w:tabs>
          <w:tab w:val="left" w:pos="1620"/>
        </w:tabs>
        <w:ind w:left="1620"/>
      </w:pPr>
      <w:r>
        <w:t>Capacity</w:t>
      </w:r>
    </w:p>
    <w:p w14:paraId="3DEDD54A" w14:textId="77777777" w:rsidR="00B82375" w:rsidRDefault="00B82375" w:rsidP="00013FAA">
      <w:pPr>
        <w:pStyle w:val="Heading2"/>
        <w:tabs>
          <w:tab w:val="left" w:pos="1620"/>
        </w:tabs>
        <w:ind w:left="1620"/>
      </w:pPr>
      <w:r w:rsidRPr="003456D1">
        <w:t>The vendor must maintain sufficient spare capacity to meet order deliver</w:t>
      </w:r>
      <w:r w:rsidR="00434731">
        <w:t>y times as identified in Tech</w:t>
      </w:r>
      <w:r w:rsidRPr="003456D1">
        <w:t xml:space="preserve"> O</w:t>
      </w:r>
      <w:r w:rsidR="00434731">
        <w:t>rder Processing</w:t>
      </w:r>
      <w:r w:rsidRPr="003456D1">
        <w:t xml:space="preserve">. </w:t>
      </w:r>
    </w:p>
    <w:p w14:paraId="681C401D" w14:textId="77777777" w:rsidR="00137D16" w:rsidRPr="00726A72" w:rsidRDefault="00137D16" w:rsidP="00624326">
      <w:pPr>
        <w:pStyle w:val="Heading1"/>
        <w:numPr>
          <w:ilvl w:val="0"/>
          <w:numId w:val="14"/>
        </w:numPr>
      </w:pPr>
      <w:bookmarkStart w:id="22" w:name="_Toc467155060"/>
      <w:bookmarkStart w:id="23" w:name="_Toc472937889"/>
      <w:r w:rsidRPr="00726A72">
        <w:t>Invoices</w:t>
      </w:r>
      <w:bookmarkEnd w:id="22"/>
      <w:bookmarkEnd w:id="23"/>
    </w:p>
    <w:p w14:paraId="1ED47646" w14:textId="5FE48A1D" w:rsidR="00137D16" w:rsidRPr="0066555D" w:rsidRDefault="0066555D" w:rsidP="00624326">
      <w:pPr>
        <w:pStyle w:val="Heading2"/>
        <w:numPr>
          <w:ilvl w:val="1"/>
          <w:numId w:val="14"/>
        </w:numPr>
        <w:tabs>
          <w:tab w:val="left" w:pos="1620"/>
        </w:tabs>
        <w:ind w:left="1620"/>
      </w:pPr>
      <w:r>
        <w:t>I</w:t>
      </w:r>
      <w:r w:rsidR="00137D16" w:rsidRPr="0066555D">
        <w:t xml:space="preserve">n addition to the Invoice and Payment section in the </w:t>
      </w:r>
      <w:r w:rsidR="00C15110">
        <w:t>NSA</w:t>
      </w:r>
      <w:r w:rsidR="00137D16" w:rsidRPr="0066555D">
        <w:t>:</w:t>
      </w:r>
    </w:p>
    <w:p w14:paraId="57CA17D2" w14:textId="77777777" w:rsidR="00E954D5" w:rsidRDefault="00137D16" w:rsidP="00E954D5">
      <w:pPr>
        <w:pStyle w:val="Heading2"/>
        <w:numPr>
          <w:ilvl w:val="1"/>
          <w:numId w:val="14"/>
        </w:numPr>
        <w:tabs>
          <w:tab w:val="left" w:pos="1620"/>
        </w:tabs>
        <w:ind w:left="1620"/>
      </w:pPr>
      <w:r w:rsidRPr="00A342CF">
        <w:t xml:space="preserve">Contractor shall itemize all charges, taxes, and fees per </w:t>
      </w:r>
      <w:r w:rsidR="004E4DDF" w:rsidRPr="00A342CF">
        <w:t>Service</w:t>
      </w:r>
      <w:r w:rsidRPr="00A342CF">
        <w:t>.</w:t>
      </w:r>
      <w:r w:rsidRPr="0066555D">
        <w:t xml:space="preserve"> This information may be itemized </w:t>
      </w:r>
      <w:r w:rsidR="00FE13E7" w:rsidRPr="0066555D">
        <w:t>directly</w:t>
      </w:r>
      <w:r w:rsidRPr="0066555D">
        <w:t xml:space="preserve"> on the invoice or provided as supplemental documentation attached to the invoice as long as the requirements are met.</w:t>
      </w:r>
    </w:p>
    <w:p w14:paraId="7F00BC8F" w14:textId="75A7A733" w:rsidR="00137D16" w:rsidRDefault="00137D16" w:rsidP="00624326">
      <w:pPr>
        <w:pStyle w:val="Heading2"/>
        <w:numPr>
          <w:ilvl w:val="1"/>
          <w:numId w:val="14"/>
        </w:numPr>
        <w:tabs>
          <w:tab w:val="left" w:pos="1620"/>
        </w:tabs>
        <w:ind w:left="1620"/>
      </w:pPr>
      <w:r w:rsidRPr="0066555D">
        <w:t>All invoices must be</w:t>
      </w:r>
      <w:r w:rsidR="00C6504D">
        <w:t xml:space="preserve"> made available or</w:t>
      </w:r>
      <w:r w:rsidRPr="0066555D">
        <w:t xml:space="preserve"> delivered as an </w:t>
      </w:r>
      <w:r w:rsidR="00212435" w:rsidRPr="0066555D">
        <w:t>“</w:t>
      </w:r>
      <w:r w:rsidRPr="0066555D">
        <w:t>E</w:t>
      </w:r>
      <w:r w:rsidR="00212435" w:rsidRPr="0066555D">
        <w:t>”</w:t>
      </w:r>
      <w:r w:rsidRPr="0066555D">
        <w:t xml:space="preserve"> bill </w:t>
      </w:r>
      <w:r w:rsidR="00AC6FCC">
        <w:t xml:space="preserve">utilizing </w:t>
      </w:r>
      <w:r w:rsidRPr="0066555D">
        <w:t>a standard paper (pdf) format</w:t>
      </w:r>
      <w:r w:rsidR="00794B65">
        <w:t>. The Invoice must be in the following format:</w:t>
      </w:r>
    </w:p>
    <w:tbl>
      <w:tblPr>
        <w:tblStyle w:val="TableGrid"/>
        <w:tblW w:w="0" w:type="auto"/>
        <w:tblInd w:w="900" w:type="dxa"/>
        <w:tblLook w:val="04A0" w:firstRow="1" w:lastRow="0" w:firstColumn="1" w:lastColumn="0" w:noHBand="0" w:noVBand="1"/>
      </w:tblPr>
      <w:tblGrid>
        <w:gridCol w:w="1255"/>
        <w:gridCol w:w="2340"/>
        <w:gridCol w:w="4855"/>
      </w:tblGrid>
      <w:tr w:rsidR="00297334" w14:paraId="37973BA7" w14:textId="77777777" w:rsidTr="00297334">
        <w:tc>
          <w:tcPr>
            <w:tcW w:w="1255" w:type="dxa"/>
          </w:tcPr>
          <w:p w14:paraId="5A4EC205" w14:textId="77777777" w:rsidR="00297334" w:rsidRDefault="00297334" w:rsidP="00297334">
            <w:pPr>
              <w:pStyle w:val="Heading2"/>
              <w:tabs>
                <w:tab w:val="left" w:pos="1620"/>
              </w:tabs>
              <w:jc w:val="center"/>
            </w:pPr>
            <w:r>
              <w:t>Column #</w:t>
            </w:r>
          </w:p>
        </w:tc>
        <w:tc>
          <w:tcPr>
            <w:tcW w:w="2340" w:type="dxa"/>
          </w:tcPr>
          <w:p w14:paraId="1A760E43" w14:textId="77777777" w:rsidR="00297334" w:rsidRDefault="00297334" w:rsidP="00297334">
            <w:pPr>
              <w:pStyle w:val="Heading2"/>
              <w:tabs>
                <w:tab w:val="left" w:pos="1620"/>
              </w:tabs>
            </w:pPr>
            <w:r>
              <w:t>Data Field</w:t>
            </w:r>
          </w:p>
        </w:tc>
        <w:tc>
          <w:tcPr>
            <w:tcW w:w="4855" w:type="dxa"/>
          </w:tcPr>
          <w:p w14:paraId="3E0DEF04" w14:textId="77777777" w:rsidR="00297334" w:rsidRDefault="00297334" w:rsidP="00297334">
            <w:pPr>
              <w:pStyle w:val="Heading2"/>
              <w:tabs>
                <w:tab w:val="left" w:pos="1620"/>
              </w:tabs>
            </w:pPr>
            <w:r>
              <w:t>Format</w:t>
            </w:r>
          </w:p>
        </w:tc>
      </w:tr>
      <w:tr w:rsidR="00297334" w14:paraId="29C56888" w14:textId="77777777" w:rsidTr="00297334">
        <w:tc>
          <w:tcPr>
            <w:tcW w:w="1255" w:type="dxa"/>
          </w:tcPr>
          <w:p w14:paraId="3FD84F48" w14:textId="77777777" w:rsidR="00297334" w:rsidRDefault="00297334" w:rsidP="00297334">
            <w:pPr>
              <w:pStyle w:val="Heading2"/>
              <w:tabs>
                <w:tab w:val="left" w:pos="1620"/>
              </w:tabs>
              <w:jc w:val="center"/>
            </w:pPr>
            <w:r>
              <w:t>1</w:t>
            </w:r>
          </w:p>
        </w:tc>
        <w:tc>
          <w:tcPr>
            <w:tcW w:w="2340" w:type="dxa"/>
          </w:tcPr>
          <w:p w14:paraId="68666049" w14:textId="77777777" w:rsidR="00297334" w:rsidRDefault="00297334" w:rsidP="00297334">
            <w:pPr>
              <w:pStyle w:val="Heading2"/>
              <w:tabs>
                <w:tab w:val="left" w:pos="1620"/>
              </w:tabs>
            </w:pPr>
            <w:r>
              <w:t>Invoice Number</w:t>
            </w:r>
          </w:p>
        </w:tc>
        <w:tc>
          <w:tcPr>
            <w:tcW w:w="4855" w:type="dxa"/>
          </w:tcPr>
          <w:p w14:paraId="3A88B646" w14:textId="77777777" w:rsidR="00297334" w:rsidRDefault="00297334" w:rsidP="00297334">
            <w:pPr>
              <w:pStyle w:val="Heading2"/>
              <w:tabs>
                <w:tab w:val="left" w:pos="1620"/>
              </w:tabs>
            </w:pPr>
            <w:r>
              <w:t>13-17 Alpha-Numeric</w:t>
            </w:r>
          </w:p>
        </w:tc>
      </w:tr>
      <w:tr w:rsidR="00297334" w14:paraId="0908CA4E" w14:textId="77777777" w:rsidTr="00297334">
        <w:tc>
          <w:tcPr>
            <w:tcW w:w="1255" w:type="dxa"/>
          </w:tcPr>
          <w:p w14:paraId="1547FFBA" w14:textId="1DAA72F0" w:rsidR="00297334" w:rsidRDefault="00297334" w:rsidP="00297334">
            <w:pPr>
              <w:pStyle w:val="Heading2"/>
              <w:tabs>
                <w:tab w:val="left" w:pos="1620"/>
              </w:tabs>
              <w:jc w:val="center"/>
            </w:pPr>
            <w:r>
              <w:t>2</w:t>
            </w:r>
          </w:p>
        </w:tc>
        <w:tc>
          <w:tcPr>
            <w:tcW w:w="2340" w:type="dxa"/>
          </w:tcPr>
          <w:p w14:paraId="062A3FA4" w14:textId="77777777" w:rsidR="00297334" w:rsidRDefault="00297334" w:rsidP="00297334">
            <w:pPr>
              <w:pStyle w:val="Heading2"/>
              <w:tabs>
                <w:tab w:val="left" w:pos="1620"/>
              </w:tabs>
            </w:pPr>
            <w:r>
              <w:t>Billing Number</w:t>
            </w:r>
          </w:p>
        </w:tc>
        <w:tc>
          <w:tcPr>
            <w:tcW w:w="4855" w:type="dxa"/>
          </w:tcPr>
          <w:p w14:paraId="1DD82B7B" w14:textId="77777777" w:rsidR="00297334" w:rsidRDefault="00297334" w:rsidP="00297334">
            <w:pPr>
              <w:pStyle w:val="Heading2"/>
              <w:tabs>
                <w:tab w:val="left" w:pos="1620"/>
              </w:tabs>
            </w:pPr>
            <w:r>
              <w:t>13-17 Alpha-Numeric (Unique to this circuit)</w:t>
            </w:r>
          </w:p>
        </w:tc>
      </w:tr>
      <w:tr w:rsidR="00297334" w14:paraId="40782330" w14:textId="77777777" w:rsidTr="00297334">
        <w:tc>
          <w:tcPr>
            <w:tcW w:w="1255" w:type="dxa"/>
          </w:tcPr>
          <w:p w14:paraId="3145C3CA" w14:textId="77777777" w:rsidR="00297334" w:rsidRDefault="00297334" w:rsidP="00297334">
            <w:pPr>
              <w:pStyle w:val="Heading2"/>
              <w:tabs>
                <w:tab w:val="left" w:pos="1620"/>
              </w:tabs>
              <w:jc w:val="center"/>
            </w:pPr>
            <w:r>
              <w:t>3</w:t>
            </w:r>
          </w:p>
        </w:tc>
        <w:tc>
          <w:tcPr>
            <w:tcW w:w="2340" w:type="dxa"/>
          </w:tcPr>
          <w:p w14:paraId="5C74F1BA" w14:textId="77777777" w:rsidR="00297334" w:rsidRDefault="00297334" w:rsidP="00297334">
            <w:pPr>
              <w:pStyle w:val="Heading2"/>
              <w:tabs>
                <w:tab w:val="left" w:pos="1620"/>
              </w:tabs>
            </w:pPr>
            <w:r>
              <w:t>Bill Date</w:t>
            </w:r>
          </w:p>
        </w:tc>
        <w:tc>
          <w:tcPr>
            <w:tcW w:w="4855" w:type="dxa"/>
          </w:tcPr>
          <w:p w14:paraId="0D6A4224" w14:textId="77777777" w:rsidR="00297334" w:rsidRDefault="00297334" w:rsidP="00297334">
            <w:pPr>
              <w:pStyle w:val="Heading2"/>
              <w:tabs>
                <w:tab w:val="left" w:pos="1620"/>
              </w:tabs>
            </w:pPr>
            <w:r>
              <w:t>8 Numeric (MMDDYYYY)</w:t>
            </w:r>
          </w:p>
        </w:tc>
      </w:tr>
      <w:tr w:rsidR="00297334" w14:paraId="3A0D5A8C" w14:textId="77777777" w:rsidTr="00297334">
        <w:tc>
          <w:tcPr>
            <w:tcW w:w="1255" w:type="dxa"/>
          </w:tcPr>
          <w:p w14:paraId="5BEAC68C" w14:textId="77777777" w:rsidR="00297334" w:rsidRDefault="00297334" w:rsidP="00297334">
            <w:pPr>
              <w:pStyle w:val="Heading2"/>
              <w:tabs>
                <w:tab w:val="left" w:pos="1620"/>
              </w:tabs>
              <w:jc w:val="center"/>
            </w:pPr>
            <w:r>
              <w:t>4</w:t>
            </w:r>
          </w:p>
        </w:tc>
        <w:tc>
          <w:tcPr>
            <w:tcW w:w="2340" w:type="dxa"/>
          </w:tcPr>
          <w:p w14:paraId="58CFC818" w14:textId="77777777" w:rsidR="00297334" w:rsidRDefault="00297334" w:rsidP="00297334">
            <w:pPr>
              <w:pStyle w:val="Heading2"/>
              <w:tabs>
                <w:tab w:val="left" w:pos="1620"/>
              </w:tabs>
            </w:pPr>
            <w:r>
              <w:t>Total Amount Billed</w:t>
            </w:r>
          </w:p>
        </w:tc>
        <w:tc>
          <w:tcPr>
            <w:tcW w:w="4855" w:type="dxa"/>
          </w:tcPr>
          <w:p w14:paraId="363C1563" w14:textId="77777777" w:rsidR="00297334" w:rsidRDefault="00297334" w:rsidP="00297334">
            <w:pPr>
              <w:pStyle w:val="Heading2"/>
              <w:tabs>
                <w:tab w:val="left" w:pos="1620"/>
              </w:tabs>
            </w:pPr>
            <w:r>
              <w:t>Max 10 Characters decimal  (ie. $1,234.56 = 1234.56)</w:t>
            </w:r>
          </w:p>
        </w:tc>
      </w:tr>
      <w:tr w:rsidR="00297334" w14:paraId="0F2386DA" w14:textId="77777777" w:rsidTr="00297334">
        <w:tc>
          <w:tcPr>
            <w:tcW w:w="1255" w:type="dxa"/>
          </w:tcPr>
          <w:p w14:paraId="2D576FB2" w14:textId="77777777" w:rsidR="00297334" w:rsidRDefault="00297334" w:rsidP="00297334">
            <w:pPr>
              <w:pStyle w:val="Heading2"/>
              <w:tabs>
                <w:tab w:val="left" w:pos="1620"/>
              </w:tabs>
              <w:jc w:val="center"/>
            </w:pPr>
            <w:r>
              <w:t>5</w:t>
            </w:r>
          </w:p>
        </w:tc>
        <w:tc>
          <w:tcPr>
            <w:tcW w:w="2340" w:type="dxa"/>
          </w:tcPr>
          <w:p w14:paraId="0E64DA68" w14:textId="77777777" w:rsidR="00297334" w:rsidRDefault="00297334" w:rsidP="00297334">
            <w:pPr>
              <w:pStyle w:val="Heading2"/>
              <w:tabs>
                <w:tab w:val="left" w:pos="1620"/>
              </w:tabs>
            </w:pPr>
            <w:r>
              <w:t>Vendor Name</w:t>
            </w:r>
          </w:p>
        </w:tc>
        <w:tc>
          <w:tcPr>
            <w:tcW w:w="4855" w:type="dxa"/>
          </w:tcPr>
          <w:p w14:paraId="4E1B79FC" w14:textId="77777777" w:rsidR="00297334" w:rsidRDefault="00297334" w:rsidP="00297334">
            <w:pPr>
              <w:pStyle w:val="Heading2"/>
              <w:tabs>
                <w:tab w:val="left" w:pos="1620"/>
              </w:tabs>
            </w:pPr>
            <w:r>
              <w:t>Max 30 Characters</w:t>
            </w:r>
          </w:p>
        </w:tc>
      </w:tr>
      <w:tr w:rsidR="00297334" w14:paraId="156317B3" w14:textId="77777777" w:rsidTr="00297334">
        <w:tc>
          <w:tcPr>
            <w:tcW w:w="1255" w:type="dxa"/>
          </w:tcPr>
          <w:p w14:paraId="60F9058D" w14:textId="77777777" w:rsidR="00297334" w:rsidRDefault="00297334" w:rsidP="00297334">
            <w:pPr>
              <w:pStyle w:val="Heading2"/>
              <w:tabs>
                <w:tab w:val="left" w:pos="1620"/>
              </w:tabs>
              <w:jc w:val="center"/>
            </w:pPr>
            <w:r>
              <w:t>6</w:t>
            </w:r>
          </w:p>
        </w:tc>
        <w:tc>
          <w:tcPr>
            <w:tcW w:w="2340" w:type="dxa"/>
          </w:tcPr>
          <w:p w14:paraId="4C56E071" w14:textId="77777777" w:rsidR="00297334" w:rsidRDefault="00297334" w:rsidP="00297334">
            <w:pPr>
              <w:pStyle w:val="Heading2"/>
              <w:tabs>
                <w:tab w:val="left" w:pos="1620"/>
              </w:tabs>
            </w:pPr>
            <w:r>
              <w:t>Vendor Circuit ID</w:t>
            </w:r>
          </w:p>
        </w:tc>
        <w:tc>
          <w:tcPr>
            <w:tcW w:w="4855" w:type="dxa"/>
          </w:tcPr>
          <w:p w14:paraId="3BED304F" w14:textId="77777777" w:rsidR="00297334" w:rsidRDefault="00297334" w:rsidP="00297334">
            <w:pPr>
              <w:pStyle w:val="Heading2"/>
              <w:tabs>
                <w:tab w:val="left" w:pos="1620"/>
              </w:tabs>
            </w:pPr>
            <w:r>
              <w:t>Max 30 Characters</w:t>
            </w:r>
          </w:p>
        </w:tc>
      </w:tr>
      <w:tr w:rsidR="00297334" w14:paraId="30761FF9" w14:textId="77777777" w:rsidTr="00297334">
        <w:tc>
          <w:tcPr>
            <w:tcW w:w="1255" w:type="dxa"/>
          </w:tcPr>
          <w:p w14:paraId="1590EF11" w14:textId="77777777" w:rsidR="00297334" w:rsidRDefault="00297334" w:rsidP="00297334">
            <w:pPr>
              <w:pStyle w:val="Heading2"/>
              <w:tabs>
                <w:tab w:val="left" w:pos="1620"/>
              </w:tabs>
              <w:jc w:val="center"/>
            </w:pPr>
            <w:r>
              <w:lastRenderedPageBreak/>
              <w:t>7</w:t>
            </w:r>
          </w:p>
        </w:tc>
        <w:tc>
          <w:tcPr>
            <w:tcW w:w="2340" w:type="dxa"/>
          </w:tcPr>
          <w:p w14:paraId="74302C20" w14:textId="77777777" w:rsidR="00297334" w:rsidRDefault="00297334" w:rsidP="00297334">
            <w:pPr>
              <w:pStyle w:val="Heading2"/>
              <w:tabs>
                <w:tab w:val="left" w:pos="1620"/>
              </w:tabs>
            </w:pPr>
            <w:r>
              <w:t>Circuit Address</w:t>
            </w:r>
          </w:p>
        </w:tc>
        <w:tc>
          <w:tcPr>
            <w:tcW w:w="4855" w:type="dxa"/>
          </w:tcPr>
          <w:p w14:paraId="7719B65E" w14:textId="77777777" w:rsidR="00297334" w:rsidRDefault="00297334" w:rsidP="00297334">
            <w:pPr>
              <w:pStyle w:val="Heading2"/>
              <w:tabs>
                <w:tab w:val="left" w:pos="1620"/>
              </w:tabs>
            </w:pPr>
            <w:r>
              <w:t>Max 132 Characters</w:t>
            </w:r>
          </w:p>
        </w:tc>
      </w:tr>
      <w:tr w:rsidR="00297334" w14:paraId="131CF91C" w14:textId="77777777" w:rsidTr="00FC6CAA">
        <w:tc>
          <w:tcPr>
            <w:tcW w:w="1255" w:type="dxa"/>
          </w:tcPr>
          <w:p w14:paraId="3EB5559E" w14:textId="77777777" w:rsidR="00297334" w:rsidRDefault="00297334" w:rsidP="00FC6CAA">
            <w:pPr>
              <w:pStyle w:val="Heading2"/>
              <w:tabs>
                <w:tab w:val="left" w:pos="1620"/>
              </w:tabs>
              <w:jc w:val="center"/>
            </w:pPr>
            <w:r>
              <w:t>8</w:t>
            </w:r>
          </w:p>
        </w:tc>
        <w:tc>
          <w:tcPr>
            <w:tcW w:w="2340" w:type="dxa"/>
          </w:tcPr>
          <w:p w14:paraId="4DA27726" w14:textId="77777777" w:rsidR="00297334" w:rsidRDefault="00297334" w:rsidP="00FC6CAA">
            <w:pPr>
              <w:pStyle w:val="Heading2"/>
              <w:tabs>
                <w:tab w:val="left" w:pos="1620"/>
              </w:tabs>
            </w:pPr>
            <w:r>
              <w:t>Bill Indicator</w:t>
            </w:r>
          </w:p>
        </w:tc>
        <w:tc>
          <w:tcPr>
            <w:tcW w:w="4855" w:type="dxa"/>
          </w:tcPr>
          <w:p w14:paraId="6CC1C418" w14:textId="77777777" w:rsidR="00297334" w:rsidRDefault="00297334" w:rsidP="00FC6CAA">
            <w:pPr>
              <w:pStyle w:val="Heading2"/>
              <w:tabs>
                <w:tab w:val="left" w:pos="1620"/>
              </w:tabs>
            </w:pPr>
            <w:r>
              <w:t>1 = Initial Bill</w:t>
            </w:r>
          </w:p>
          <w:p w14:paraId="608CBE02" w14:textId="77777777" w:rsidR="00297334" w:rsidRDefault="00297334" w:rsidP="00FC6CAA">
            <w:pPr>
              <w:pStyle w:val="Heading2"/>
              <w:tabs>
                <w:tab w:val="left" w:pos="1620"/>
              </w:tabs>
            </w:pPr>
            <w:r>
              <w:t>3 = Live Account (default)</w:t>
            </w:r>
          </w:p>
          <w:p w14:paraId="12624525" w14:textId="77777777" w:rsidR="00297334" w:rsidRDefault="00297334" w:rsidP="00FC6CAA">
            <w:pPr>
              <w:pStyle w:val="Heading2"/>
              <w:tabs>
                <w:tab w:val="left" w:pos="1620"/>
              </w:tabs>
            </w:pPr>
            <w:r>
              <w:t>4 = Final Bill</w:t>
            </w:r>
          </w:p>
          <w:p w14:paraId="5F035DED" w14:textId="77777777" w:rsidR="00297334" w:rsidRDefault="00297334" w:rsidP="00FC6CAA">
            <w:pPr>
              <w:pStyle w:val="Heading2"/>
              <w:tabs>
                <w:tab w:val="left" w:pos="1620"/>
              </w:tabs>
            </w:pPr>
            <w:r>
              <w:t>5 = Revised Final Bill</w:t>
            </w:r>
          </w:p>
          <w:p w14:paraId="1F3743DC" w14:textId="77777777" w:rsidR="00297334" w:rsidRDefault="00297334" w:rsidP="00FC6CAA">
            <w:pPr>
              <w:pStyle w:val="Heading2"/>
              <w:tabs>
                <w:tab w:val="left" w:pos="1620"/>
              </w:tabs>
            </w:pPr>
            <w:r>
              <w:t>6 = Closing Statement (inc. all billed items)</w:t>
            </w:r>
          </w:p>
          <w:p w14:paraId="263324F1" w14:textId="77777777" w:rsidR="00297334" w:rsidRDefault="00297334" w:rsidP="00FC6CAA">
            <w:pPr>
              <w:pStyle w:val="Heading2"/>
              <w:tabs>
                <w:tab w:val="left" w:pos="1620"/>
              </w:tabs>
            </w:pPr>
            <w:r>
              <w:t>7. Revised Closing Statement</w:t>
            </w:r>
          </w:p>
        </w:tc>
      </w:tr>
      <w:tr w:rsidR="00297334" w14:paraId="17D2914E" w14:textId="77777777" w:rsidTr="00297334">
        <w:tc>
          <w:tcPr>
            <w:tcW w:w="1255" w:type="dxa"/>
          </w:tcPr>
          <w:p w14:paraId="598D6C8E" w14:textId="77777777" w:rsidR="00297334" w:rsidRDefault="00297334" w:rsidP="00297334">
            <w:pPr>
              <w:pStyle w:val="Heading2"/>
              <w:tabs>
                <w:tab w:val="left" w:pos="1620"/>
              </w:tabs>
              <w:jc w:val="center"/>
            </w:pPr>
            <w:r>
              <w:t>9</w:t>
            </w:r>
          </w:p>
        </w:tc>
        <w:tc>
          <w:tcPr>
            <w:tcW w:w="2340" w:type="dxa"/>
          </w:tcPr>
          <w:p w14:paraId="218A6512" w14:textId="77777777" w:rsidR="00297334" w:rsidRDefault="00297334" w:rsidP="00297334">
            <w:pPr>
              <w:pStyle w:val="Heading2"/>
              <w:tabs>
                <w:tab w:val="left" w:pos="1620"/>
              </w:tabs>
            </w:pPr>
            <w:r>
              <w:t>Previous Unpaid</w:t>
            </w:r>
          </w:p>
        </w:tc>
        <w:tc>
          <w:tcPr>
            <w:tcW w:w="4855" w:type="dxa"/>
          </w:tcPr>
          <w:p w14:paraId="55542314" w14:textId="77777777" w:rsidR="00297334" w:rsidRDefault="00297334" w:rsidP="00297334">
            <w:pPr>
              <w:pStyle w:val="Heading2"/>
              <w:tabs>
                <w:tab w:val="left" w:pos="1620"/>
              </w:tabs>
            </w:pPr>
            <w:r>
              <w:t>Max 10 Characters decimal  (ie. $1,234.56 = 1234.56)</w:t>
            </w:r>
          </w:p>
        </w:tc>
      </w:tr>
      <w:tr w:rsidR="00297334" w14:paraId="4E2447A5" w14:textId="77777777" w:rsidTr="00297334">
        <w:tc>
          <w:tcPr>
            <w:tcW w:w="1255" w:type="dxa"/>
          </w:tcPr>
          <w:p w14:paraId="041D2B6A" w14:textId="77777777" w:rsidR="00297334" w:rsidRDefault="00297334" w:rsidP="00297334">
            <w:pPr>
              <w:pStyle w:val="Heading2"/>
              <w:tabs>
                <w:tab w:val="left" w:pos="1620"/>
              </w:tabs>
              <w:jc w:val="center"/>
            </w:pPr>
            <w:r>
              <w:t>10</w:t>
            </w:r>
          </w:p>
        </w:tc>
        <w:tc>
          <w:tcPr>
            <w:tcW w:w="2340" w:type="dxa"/>
          </w:tcPr>
          <w:p w14:paraId="6E173F52" w14:textId="77777777" w:rsidR="00297334" w:rsidRDefault="00297334" w:rsidP="00297334">
            <w:pPr>
              <w:pStyle w:val="Heading2"/>
              <w:tabs>
                <w:tab w:val="left" w:pos="1620"/>
              </w:tabs>
            </w:pPr>
            <w:r>
              <w:t>Total New Charges</w:t>
            </w:r>
          </w:p>
        </w:tc>
        <w:tc>
          <w:tcPr>
            <w:tcW w:w="4855" w:type="dxa"/>
          </w:tcPr>
          <w:p w14:paraId="0CE52760" w14:textId="77777777" w:rsidR="00297334" w:rsidRDefault="00297334" w:rsidP="00297334">
            <w:pPr>
              <w:pStyle w:val="Heading2"/>
              <w:tabs>
                <w:tab w:val="left" w:pos="1620"/>
              </w:tabs>
            </w:pPr>
            <w:r>
              <w:t>Max 10 Characters decimal  (ie. $1,234.56 = 1234.56)</w:t>
            </w:r>
          </w:p>
        </w:tc>
      </w:tr>
      <w:tr w:rsidR="00297334" w14:paraId="773F8A2B" w14:textId="77777777" w:rsidTr="00297334">
        <w:tc>
          <w:tcPr>
            <w:tcW w:w="1255" w:type="dxa"/>
          </w:tcPr>
          <w:p w14:paraId="60DD6081" w14:textId="77777777" w:rsidR="00297334" w:rsidRDefault="00297334" w:rsidP="00297334">
            <w:pPr>
              <w:pStyle w:val="Heading2"/>
              <w:tabs>
                <w:tab w:val="left" w:pos="1620"/>
              </w:tabs>
              <w:jc w:val="center"/>
            </w:pPr>
            <w:r>
              <w:t>11</w:t>
            </w:r>
          </w:p>
        </w:tc>
        <w:tc>
          <w:tcPr>
            <w:tcW w:w="2340" w:type="dxa"/>
          </w:tcPr>
          <w:p w14:paraId="27CC0D5B" w14:textId="77777777" w:rsidR="00297334" w:rsidRDefault="00297334" w:rsidP="00297334">
            <w:pPr>
              <w:pStyle w:val="Heading2"/>
              <w:tabs>
                <w:tab w:val="left" w:pos="1620"/>
              </w:tabs>
            </w:pPr>
            <w:r>
              <w:t>Total Amt. Due</w:t>
            </w:r>
            <w:r>
              <w:tab/>
            </w:r>
          </w:p>
        </w:tc>
        <w:tc>
          <w:tcPr>
            <w:tcW w:w="4855" w:type="dxa"/>
          </w:tcPr>
          <w:p w14:paraId="5A292364" w14:textId="77777777" w:rsidR="00297334" w:rsidRDefault="00297334" w:rsidP="00297334">
            <w:pPr>
              <w:pStyle w:val="Heading2"/>
              <w:tabs>
                <w:tab w:val="left" w:pos="1620"/>
              </w:tabs>
            </w:pPr>
            <w:r>
              <w:t>Max 10 Characters decimal  (ie. $1,234.56 = 1234.56)</w:t>
            </w:r>
          </w:p>
        </w:tc>
      </w:tr>
      <w:tr w:rsidR="00297334" w14:paraId="234E08D4" w14:textId="77777777" w:rsidTr="00297334">
        <w:tc>
          <w:tcPr>
            <w:tcW w:w="1255" w:type="dxa"/>
          </w:tcPr>
          <w:p w14:paraId="5BA48177" w14:textId="77777777" w:rsidR="00297334" w:rsidRDefault="00297334" w:rsidP="00297334">
            <w:pPr>
              <w:pStyle w:val="Heading2"/>
              <w:tabs>
                <w:tab w:val="left" w:pos="1620"/>
              </w:tabs>
              <w:jc w:val="center"/>
            </w:pPr>
            <w:r>
              <w:t>12</w:t>
            </w:r>
          </w:p>
        </w:tc>
        <w:tc>
          <w:tcPr>
            <w:tcW w:w="2340" w:type="dxa"/>
          </w:tcPr>
          <w:p w14:paraId="51079728" w14:textId="77777777" w:rsidR="00297334" w:rsidRDefault="00297334" w:rsidP="00297334">
            <w:pPr>
              <w:pStyle w:val="Heading2"/>
              <w:tabs>
                <w:tab w:val="left" w:pos="1620"/>
              </w:tabs>
            </w:pPr>
            <w:r>
              <w:t>Total Taxes &amp; Fees</w:t>
            </w:r>
          </w:p>
        </w:tc>
        <w:tc>
          <w:tcPr>
            <w:tcW w:w="4855" w:type="dxa"/>
          </w:tcPr>
          <w:p w14:paraId="2B3ECD13" w14:textId="77777777" w:rsidR="00297334" w:rsidRDefault="00297334" w:rsidP="00297334">
            <w:pPr>
              <w:pStyle w:val="Heading2"/>
              <w:tabs>
                <w:tab w:val="left" w:pos="1620"/>
              </w:tabs>
            </w:pPr>
            <w:r>
              <w:t>Max 10 Characters decimal  (ie. $1,234.56 = 1234.56)</w:t>
            </w:r>
          </w:p>
        </w:tc>
      </w:tr>
      <w:tr w:rsidR="00297334" w14:paraId="7CB76CDC" w14:textId="77777777" w:rsidTr="00297334">
        <w:tc>
          <w:tcPr>
            <w:tcW w:w="1255" w:type="dxa"/>
          </w:tcPr>
          <w:p w14:paraId="03B565F7" w14:textId="77777777" w:rsidR="00297334" w:rsidRDefault="00297334" w:rsidP="00297334">
            <w:pPr>
              <w:pStyle w:val="Heading2"/>
              <w:tabs>
                <w:tab w:val="left" w:pos="1620"/>
              </w:tabs>
              <w:jc w:val="center"/>
            </w:pPr>
            <w:r>
              <w:t>13</w:t>
            </w:r>
          </w:p>
        </w:tc>
        <w:tc>
          <w:tcPr>
            <w:tcW w:w="2340" w:type="dxa"/>
          </w:tcPr>
          <w:p w14:paraId="61156A01" w14:textId="77777777" w:rsidR="00297334" w:rsidRDefault="00297334" w:rsidP="00297334">
            <w:pPr>
              <w:pStyle w:val="Heading2"/>
              <w:tabs>
                <w:tab w:val="left" w:pos="1620"/>
              </w:tabs>
            </w:pPr>
            <w:r>
              <w:t>Surcharge Description</w:t>
            </w:r>
          </w:p>
        </w:tc>
        <w:tc>
          <w:tcPr>
            <w:tcW w:w="4855" w:type="dxa"/>
          </w:tcPr>
          <w:p w14:paraId="0D9087D3" w14:textId="77777777" w:rsidR="00297334" w:rsidRDefault="00297334" w:rsidP="00297334">
            <w:pPr>
              <w:pStyle w:val="Heading2"/>
              <w:tabs>
                <w:tab w:val="left" w:pos="1620"/>
              </w:tabs>
            </w:pPr>
            <w:r>
              <w:t>50 Characters</w:t>
            </w:r>
          </w:p>
        </w:tc>
      </w:tr>
      <w:tr w:rsidR="00297334" w14:paraId="75104920" w14:textId="77777777" w:rsidTr="00297334">
        <w:tc>
          <w:tcPr>
            <w:tcW w:w="1255" w:type="dxa"/>
          </w:tcPr>
          <w:p w14:paraId="23D83181" w14:textId="77777777" w:rsidR="00297334" w:rsidRDefault="00297334" w:rsidP="00297334">
            <w:pPr>
              <w:pStyle w:val="Heading2"/>
              <w:tabs>
                <w:tab w:val="left" w:pos="1620"/>
              </w:tabs>
              <w:jc w:val="center"/>
            </w:pPr>
            <w:r>
              <w:t>14</w:t>
            </w:r>
          </w:p>
        </w:tc>
        <w:tc>
          <w:tcPr>
            <w:tcW w:w="2340" w:type="dxa"/>
          </w:tcPr>
          <w:p w14:paraId="37EFE5D3" w14:textId="77777777" w:rsidR="00297334" w:rsidRDefault="00297334" w:rsidP="00297334">
            <w:pPr>
              <w:pStyle w:val="Heading2"/>
              <w:tabs>
                <w:tab w:val="left" w:pos="1620"/>
              </w:tabs>
            </w:pPr>
            <w:r>
              <w:t>Surcharge Amount</w:t>
            </w:r>
          </w:p>
        </w:tc>
        <w:tc>
          <w:tcPr>
            <w:tcW w:w="4855" w:type="dxa"/>
          </w:tcPr>
          <w:p w14:paraId="09509FD4" w14:textId="77777777" w:rsidR="00297334" w:rsidRDefault="00297334" w:rsidP="00297334">
            <w:pPr>
              <w:pStyle w:val="Heading2"/>
              <w:tabs>
                <w:tab w:val="left" w:pos="1620"/>
              </w:tabs>
            </w:pPr>
            <w:r>
              <w:t>Max 10 Characters decimal  (ie. $1,234.56 = 1234.56)</w:t>
            </w:r>
          </w:p>
        </w:tc>
      </w:tr>
    </w:tbl>
    <w:p w14:paraId="0CD24AE9" w14:textId="77777777" w:rsidR="00F3754E" w:rsidRDefault="00F3754E" w:rsidP="00F3754E">
      <w:pPr>
        <w:pStyle w:val="Heading2"/>
        <w:tabs>
          <w:tab w:val="left" w:pos="1620"/>
        </w:tabs>
        <w:ind w:left="1620"/>
      </w:pPr>
    </w:p>
    <w:p w14:paraId="7A9090E7" w14:textId="77777777" w:rsidR="00137D16" w:rsidRPr="0066555D" w:rsidRDefault="0066555D" w:rsidP="00624326">
      <w:pPr>
        <w:pStyle w:val="Heading2"/>
        <w:numPr>
          <w:ilvl w:val="1"/>
          <w:numId w:val="14"/>
        </w:numPr>
        <w:tabs>
          <w:tab w:val="left" w:pos="1620"/>
        </w:tabs>
        <w:ind w:left="1620"/>
      </w:pPr>
      <w:r>
        <w:t>A</w:t>
      </w:r>
      <w:r w:rsidR="00137D16" w:rsidRPr="0066555D">
        <w:t>ll invoices must include all applicable taxes.</w:t>
      </w:r>
    </w:p>
    <w:p w14:paraId="1713D9F8" w14:textId="77777777" w:rsidR="00137D16" w:rsidRPr="0066555D" w:rsidRDefault="00137D16" w:rsidP="00624326">
      <w:pPr>
        <w:pStyle w:val="Heading2"/>
        <w:numPr>
          <w:ilvl w:val="1"/>
          <w:numId w:val="14"/>
        </w:numPr>
        <w:tabs>
          <w:tab w:val="left" w:pos="1620"/>
        </w:tabs>
        <w:ind w:left="1620"/>
      </w:pPr>
      <w:r w:rsidRPr="0066555D">
        <w:t>All applicable surcharges and fees will be noted.</w:t>
      </w:r>
    </w:p>
    <w:p w14:paraId="6F9DAFDF" w14:textId="1450B713" w:rsidR="00137D16" w:rsidRPr="0066555D" w:rsidRDefault="00137D16" w:rsidP="00624326">
      <w:pPr>
        <w:pStyle w:val="Heading2"/>
        <w:numPr>
          <w:ilvl w:val="1"/>
          <w:numId w:val="14"/>
        </w:numPr>
        <w:tabs>
          <w:tab w:val="left" w:pos="1620"/>
        </w:tabs>
        <w:ind w:left="1620"/>
      </w:pPr>
      <w:r w:rsidRPr="0066555D">
        <w:t xml:space="preserve">Billing shall commence once </w:t>
      </w:r>
      <w:r w:rsidR="004E4DDF">
        <w:t>Service</w:t>
      </w:r>
      <w:r w:rsidRPr="0066555D">
        <w:t xml:space="preserve"> has been accepted and tested by </w:t>
      </w:r>
      <w:r w:rsidR="008A07E6">
        <w:t>WaTech</w:t>
      </w:r>
      <w:r w:rsidR="00F31056">
        <w:t>.</w:t>
      </w:r>
      <w:r w:rsidRPr="0066555D">
        <w:t xml:space="preserve"> </w:t>
      </w:r>
      <w:r w:rsidR="00F31056">
        <w:t>T</w:t>
      </w:r>
      <w:r w:rsidRPr="0066555D">
        <w:t xml:space="preserve">he vendor must provide electronic billing which at a minimum itemizes </w:t>
      </w:r>
      <w:r w:rsidR="004E4DDF">
        <w:t>Service</w:t>
      </w:r>
      <w:r w:rsidRPr="0066555D">
        <w:t xml:space="preserve"> by telephone number, location and cost.  </w:t>
      </w:r>
      <w:r w:rsidR="008A07E6">
        <w:t>WaTech</w:t>
      </w:r>
      <w:r w:rsidRPr="0066555D">
        <w:t xml:space="preserve"> will receive a separate bill for each Central Office unless otherwise requested. If charged, long distance calls must also provide individual call detail (date, time, originating number, destination number, duration, unit rate and total call charge).</w:t>
      </w:r>
    </w:p>
    <w:p w14:paraId="0F70E15F" w14:textId="77777777" w:rsidR="00137D16" w:rsidRPr="00726A72" w:rsidRDefault="00137D16" w:rsidP="00624326">
      <w:pPr>
        <w:pStyle w:val="Heading1"/>
        <w:numPr>
          <w:ilvl w:val="0"/>
          <w:numId w:val="14"/>
        </w:numPr>
      </w:pPr>
      <w:bookmarkStart w:id="24" w:name="_Toc467155061"/>
      <w:bookmarkStart w:id="25" w:name="_Toc477777619"/>
      <w:r w:rsidRPr="00726A72">
        <w:t>Technical Requirements</w:t>
      </w:r>
      <w:bookmarkEnd w:id="24"/>
      <w:bookmarkEnd w:id="25"/>
    </w:p>
    <w:p w14:paraId="7882A797" w14:textId="77777777" w:rsidR="00137D16" w:rsidRPr="0066555D" w:rsidRDefault="00137D16" w:rsidP="0066555D">
      <w:pPr>
        <w:pStyle w:val="Heading2"/>
        <w:tabs>
          <w:tab w:val="left" w:pos="1620"/>
        </w:tabs>
        <w:ind w:left="720"/>
      </w:pPr>
      <w:r w:rsidRPr="0066555D">
        <w:t>Contractor shall provide the Services to meet the min</w:t>
      </w:r>
      <w:bookmarkStart w:id="26" w:name="_Toc467155063"/>
      <w:bookmarkStart w:id="27" w:name="_Toc477777620"/>
      <w:bookmarkStart w:id="28" w:name="_Toc467155062"/>
      <w:r w:rsidRPr="0066555D">
        <w:t xml:space="preserve">imum standards stated herein: </w:t>
      </w:r>
    </w:p>
    <w:p w14:paraId="476440E5" w14:textId="6E04579E" w:rsidR="008E71D4" w:rsidRPr="0066555D" w:rsidRDefault="008E71D4" w:rsidP="00624326">
      <w:pPr>
        <w:pStyle w:val="Heading2"/>
        <w:numPr>
          <w:ilvl w:val="1"/>
          <w:numId w:val="14"/>
        </w:numPr>
        <w:tabs>
          <w:tab w:val="left" w:pos="1620"/>
        </w:tabs>
        <w:ind w:left="1620"/>
      </w:pPr>
      <w:r w:rsidRPr="0066555D">
        <w:t xml:space="preserve">For </w:t>
      </w:r>
      <w:r w:rsidR="004E4DDF">
        <w:t>Service</w:t>
      </w:r>
      <w:r w:rsidRPr="0066555D">
        <w:t>s delivered via a higher facility (DS-3 for example</w:t>
      </w:r>
      <w:r w:rsidR="00F31056">
        <w:t>)</w:t>
      </w:r>
      <w:r w:rsidR="00AD0390">
        <w:t xml:space="preserve"> or by a gateway device</w:t>
      </w:r>
      <w:r w:rsidRPr="0066555D">
        <w:t xml:space="preserve">, vendor will </w:t>
      </w:r>
      <w:r w:rsidR="00137D16" w:rsidRPr="0066555D">
        <w:t xml:space="preserve">provide a </w:t>
      </w:r>
      <w:r w:rsidR="00137D16" w:rsidRPr="006321C3">
        <w:t>UPS capable of</w:t>
      </w:r>
      <w:r w:rsidR="00137D16" w:rsidRPr="0066555D">
        <w:t xml:space="preserve"> maintaining </w:t>
      </w:r>
      <w:r w:rsidR="004E4DDF">
        <w:t>Service</w:t>
      </w:r>
      <w:r w:rsidR="00137D16" w:rsidRPr="0066555D">
        <w:t xml:space="preserve"> for a minimum of </w:t>
      </w:r>
      <w:r w:rsidRPr="0066555D">
        <w:t>4</w:t>
      </w:r>
      <w:r w:rsidR="00137D16" w:rsidRPr="0066555D">
        <w:t xml:space="preserve"> hours during a</w:t>
      </w:r>
      <w:r w:rsidR="002938CD" w:rsidRPr="0066555D">
        <w:t xml:space="preserve"> </w:t>
      </w:r>
      <w:r w:rsidR="00137D16" w:rsidRPr="0066555D">
        <w:t>commercial power interruption.</w:t>
      </w:r>
      <w:bookmarkStart w:id="29" w:name="_Toc14492937"/>
      <w:r w:rsidR="003278F9" w:rsidRPr="0066555D">
        <w:t xml:space="preserve">  </w:t>
      </w:r>
    </w:p>
    <w:bookmarkEnd w:id="29"/>
    <w:p w14:paraId="6C1A608A" w14:textId="04B69CD0" w:rsidR="00137D16" w:rsidRPr="0066555D" w:rsidRDefault="00137D16" w:rsidP="00624326">
      <w:pPr>
        <w:pStyle w:val="Heading2"/>
        <w:numPr>
          <w:ilvl w:val="1"/>
          <w:numId w:val="14"/>
        </w:numPr>
        <w:tabs>
          <w:tab w:val="left" w:pos="1620"/>
        </w:tabs>
        <w:ind w:left="1620"/>
      </w:pPr>
      <w:r w:rsidRPr="0066555D">
        <w:t xml:space="preserve">The </w:t>
      </w:r>
      <w:r w:rsidR="009B3DFC">
        <w:t>T-1</w:t>
      </w:r>
      <w:r w:rsidRPr="0066555D">
        <w:t xml:space="preserve"> must support direct inward dial (DID) functionality.  The initial installation calls for one (1) </w:t>
      </w:r>
      <w:r w:rsidR="009B3DFC">
        <w:t>T-1</w:t>
      </w:r>
      <w:r w:rsidRPr="0066555D">
        <w:t xml:space="preserve">s however, the contract may be used to purchase up to two (2) additional </w:t>
      </w:r>
      <w:r w:rsidR="009B3DFC">
        <w:t>T-1</w:t>
      </w:r>
      <w:r w:rsidRPr="0066555D">
        <w:t xml:space="preserve">s at the same price.  </w:t>
      </w:r>
    </w:p>
    <w:p w14:paraId="4AF675AF" w14:textId="55E0B96C" w:rsidR="00137D16" w:rsidRPr="0066555D" w:rsidRDefault="00137D16" w:rsidP="00624326">
      <w:pPr>
        <w:pStyle w:val="Heading2"/>
        <w:numPr>
          <w:ilvl w:val="1"/>
          <w:numId w:val="14"/>
        </w:numPr>
        <w:tabs>
          <w:tab w:val="left" w:pos="1620"/>
        </w:tabs>
        <w:ind w:left="1620"/>
      </w:pPr>
      <w:r w:rsidRPr="0066555D">
        <w:t xml:space="preserve">The </w:t>
      </w:r>
      <w:r w:rsidR="009B3DFC">
        <w:t>T-1</w:t>
      </w:r>
      <w:r w:rsidR="003278F9" w:rsidRPr="0066555D">
        <w:t xml:space="preserve"> </w:t>
      </w:r>
      <w:r w:rsidRPr="0066555D">
        <w:t xml:space="preserve">must be capable of being configured as Primary Rate Interface (PRI) NI 2, with B8ZS/ESF Line coding.  If requested by </w:t>
      </w:r>
      <w:r w:rsidR="008A07E6">
        <w:t>WaTech</w:t>
      </w:r>
      <w:r w:rsidRPr="0066555D">
        <w:t xml:space="preserve">, the DS0 Channels must be configured as two trunk groups with a primary trunk group of DS0s for two-way traffic and a secondary trunk group of DS0s to provide a dedicated E911 path.   </w:t>
      </w:r>
    </w:p>
    <w:p w14:paraId="6C0D959C" w14:textId="661AAB00" w:rsidR="00137D16" w:rsidRPr="0066555D" w:rsidRDefault="00137D16" w:rsidP="00624326">
      <w:pPr>
        <w:pStyle w:val="Heading2"/>
        <w:numPr>
          <w:ilvl w:val="1"/>
          <w:numId w:val="14"/>
        </w:numPr>
        <w:tabs>
          <w:tab w:val="left" w:pos="1620"/>
        </w:tabs>
        <w:ind w:left="1620"/>
      </w:pPr>
      <w:r w:rsidRPr="0066555D">
        <w:t xml:space="preserve">If the provided PRI is converted from SIP using a data network device, it must support the same level of functionality as a PRI </w:t>
      </w:r>
      <w:r w:rsidR="009B3DFC">
        <w:t>T-1</w:t>
      </w:r>
      <w:r w:rsidRPr="0066555D">
        <w:t>.</w:t>
      </w:r>
    </w:p>
    <w:p w14:paraId="6031761C" w14:textId="2131ADFD" w:rsidR="00137D16" w:rsidRPr="0066555D" w:rsidRDefault="00137D16" w:rsidP="00624326">
      <w:pPr>
        <w:pStyle w:val="Heading2"/>
        <w:numPr>
          <w:ilvl w:val="1"/>
          <w:numId w:val="14"/>
        </w:numPr>
        <w:tabs>
          <w:tab w:val="left" w:pos="1620"/>
        </w:tabs>
        <w:ind w:left="1620"/>
      </w:pPr>
      <w:r w:rsidRPr="0066555D">
        <w:lastRenderedPageBreak/>
        <w:t xml:space="preserve">The PRI must be presented to </w:t>
      </w:r>
      <w:r w:rsidR="008A07E6">
        <w:t>WaTech</w:t>
      </w:r>
      <w:r w:rsidRPr="0066555D">
        <w:t xml:space="preserve"> as a RJ48C</w:t>
      </w:r>
      <w:r w:rsidR="003278F9" w:rsidRPr="0066555D">
        <w:t xml:space="preserve"> or X </w:t>
      </w:r>
      <w:r w:rsidRPr="0066555D">
        <w:t xml:space="preserve">jack wired to support a straight-through/patch cable connection.  An ASV provided ‘pigtail jack’ to support the requirement is acceptable (e.g. A ‘pigtail jack’ must be provided to convert an Integrated Access Device, with a RJ48C wired for a crossover cable, to a RJ48C wired to support a straight-through/patch cable connection).  </w:t>
      </w:r>
    </w:p>
    <w:p w14:paraId="648CF480" w14:textId="77777777" w:rsidR="00137D16" w:rsidRPr="0066555D" w:rsidRDefault="00137D16" w:rsidP="00624326">
      <w:pPr>
        <w:pStyle w:val="Heading2"/>
        <w:numPr>
          <w:ilvl w:val="1"/>
          <w:numId w:val="14"/>
        </w:numPr>
        <w:tabs>
          <w:tab w:val="left" w:pos="1620"/>
        </w:tabs>
        <w:ind w:left="1620"/>
      </w:pPr>
      <w:r w:rsidRPr="0066555D">
        <w:t xml:space="preserve">The provider of this </w:t>
      </w:r>
      <w:r w:rsidR="004E4DDF">
        <w:t>Service</w:t>
      </w:r>
      <w:r w:rsidRPr="0066555D">
        <w:t xml:space="preserve"> must have the capability of supporting the transmission of ANI information </w:t>
      </w:r>
      <w:r w:rsidR="0011095C">
        <w:t xml:space="preserve">on the purchased PRI </w:t>
      </w:r>
      <w:r w:rsidRPr="0066555D">
        <w:t>to the local Public Safety Answering Position (PSAP)</w:t>
      </w:r>
      <w:r w:rsidR="00B65FB5">
        <w:t xml:space="preserve"> </w:t>
      </w:r>
      <w:r w:rsidR="0011095C">
        <w:t xml:space="preserve"> </w:t>
      </w:r>
      <w:r w:rsidR="00B65FB5">
        <w:t>The PSAP uses the calling party's number to locate the address in the Automatic Location Identification (ALI) database.</w:t>
      </w:r>
      <w:r w:rsidRPr="0066555D">
        <w:t xml:space="preserve"> </w:t>
      </w:r>
    </w:p>
    <w:p w14:paraId="0E8CB4A9" w14:textId="281F0F52" w:rsidR="00137D16" w:rsidRPr="0066555D" w:rsidRDefault="00137D16" w:rsidP="00624326">
      <w:pPr>
        <w:pStyle w:val="Heading2"/>
        <w:numPr>
          <w:ilvl w:val="1"/>
          <w:numId w:val="14"/>
        </w:numPr>
        <w:tabs>
          <w:tab w:val="left" w:pos="1620"/>
        </w:tabs>
        <w:ind w:left="1620"/>
      </w:pPr>
      <w:r w:rsidRPr="0066555D">
        <w:t xml:space="preserve">The application must support a minimum of 100 dedicated DID numbers.  The existing numbers may need to be ported to the ASV’s network.  Additional numbers may be requested from ASV’s available numbers for the identified </w:t>
      </w:r>
      <w:r w:rsidR="004E4DDF">
        <w:t>Service</w:t>
      </w:r>
      <w:r w:rsidRPr="0066555D">
        <w:t xml:space="preserve"> area. The Billing Telephone Number (BTN) assigned to the </w:t>
      </w:r>
      <w:r w:rsidR="009B3DFC">
        <w:t>T-1</w:t>
      </w:r>
      <w:r w:rsidRPr="0066555D">
        <w:t xml:space="preserve"> by the ASV’s BTN must not be a number within the DID range. </w:t>
      </w:r>
    </w:p>
    <w:p w14:paraId="46FB68EC" w14:textId="77777777" w:rsidR="00137D16" w:rsidRPr="0066555D" w:rsidRDefault="00137D16" w:rsidP="00624326">
      <w:pPr>
        <w:pStyle w:val="Heading2"/>
        <w:numPr>
          <w:ilvl w:val="1"/>
          <w:numId w:val="14"/>
        </w:numPr>
        <w:tabs>
          <w:tab w:val="left" w:pos="1620"/>
        </w:tabs>
        <w:ind w:left="1620"/>
      </w:pPr>
      <w:r w:rsidRPr="0066555D">
        <w:t>Vendor must support the following call restriction features:</w:t>
      </w:r>
    </w:p>
    <w:p w14:paraId="35F5020C" w14:textId="77777777" w:rsidR="00137D16" w:rsidRPr="00624326" w:rsidRDefault="00137D16" w:rsidP="00624326">
      <w:pPr>
        <w:pStyle w:val="Heading1para"/>
        <w:numPr>
          <w:ilvl w:val="0"/>
          <w:numId w:val="20"/>
        </w:numPr>
        <w:contextualSpacing/>
        <w:rPr>
          <w:szCs w:val="22"/>
        </w:rPr>
      </w:pPr>
      <w:r w:rsidRPr="00624326">
        <w:rPr>
          <w:szCs w:val="22"/>
        </w:rPr>
        <w:t>Outgoing restriction (restrict a facility fr</w:t>
      </w:r>
      <w:r w:rsidR="003278F9" w:rsidRPr="00624326">
        <w:rPr>
          <w:szCs w:val="22"/>
        </w:rPr>
        <w:t xml:space="preserve">om dialing toll, </w:t>
      </w:r>
      <w:r w:rsidR="008E71D4" w:rsidRPr="00624326">
        <w:rPr>
          <w:szCs w:val="22"/>
        </w:rPr>
        <w:t>international 011</w:t>
      </w:r>
      <w:r w:rsidRPr="00624326">
        <w:rPr>
          <w:szCs w:val="22"/>
        </w:rPr>
        <w:t>, 900 and 976 services)</w:t>
      </w:r>
    </w:p>
    <w:p w14:paraId="135C57CF" w14:textId="77777777" w:rsidR="00137D16" w:rsidRPr="00624326" w:rsidRDefault="00137D16" w:rsidP="00624326">
      <w:pPr>
        <w:pStyle w:val="Heading1para"/>
        <w:numPr>
          <w:ilvl w:val="0"/>
          <w:numId w:val="20"/>
        </w:numPr>
        <w:contextualSpacing/>
        <w:rPr>
          <w:szCs w:val="22"/>
        </w:rPr>
      </w:pPr>
      <w:r w:rsidRPr="00624326">
        <w:rPr>
          <w:szCs w:val="22"/>
        </w:rPr>
        <w:t>Collect calling restriction (prevents users from accepting collect calls)</w:t>
      </w:r>
    </w:p>
    <w:p w14:paraId="58A164AF" w14:textId="77777777" w:rsidR="00137D16" w:rsidRPr="00624326" w:rsidRDefault="00137D16" w:rsidP="00624326">
      <w:pPr>
        <w:pStyle w:val="Heading1para"/>
        <w:numPr>
          <w:ilvl w:val="0"/>
          <w:numId w:val="20"/>
        </w:numPr>
        <w:contextualSpacing/>
        <w:rPr>
          <w:szCs w:val="22"/>
        </w:rPr>
      </w:pPr>
      <w:r w:rsidRPr="00624326">
        <w:rPr>
          <w:szCs w:val="22"/>
        </w:rPr>
        <w:t xml:space="preserve">Third party billing restriction (prevent a user from billing a toll or chargeable operator assisted call to a number on the </w:t>
      </w:r>
      <w:r w:rsidR="004E4DDF">
        <w:rPr>
          <w:szCs w:val="22"/>
        </w:rPr>
        <w:t>Service</w:t>
      </w:r>
      <w:r w:rsidRPr="00624326">
        <w:rPr>
          <w:szCs w:val="22"/>
        </w:rPr>
        <w:t>).</w:t>
      </w:r>
    </w:p>
    <w:p w14:paraId="3F8EB081" w14:textId="02B0423B" w:rsidR="00A72206" w:rsidRPr="0066555D" w:rsidRDefault="00A72206" w:rsidP="00A72206">
      <w:pPr>
        <w:pStyle w:val="Heading2"/>
        <w:numPr>
          <w:ilvl w:val="1"/>
          <w:numId w:val="14"/>
        </w:numPr>
        <w:tabs>
          <w:tab w:val="left" w:pos="1620"/>
        </w:tabs>
        <w:ind w:left="1620"/>
      </w:pPr>
      <w:r w:rsidRPr="0066555D">
        <w:t xml:space="preserve">Vendor must support the following </w:t>
      </w:r>
      <w:r w:rsidR="00C81868">
        <w:t>settings to determine what is displyed to the called party:</w:t>
      </w:r>
    </w:p>
    <w:p w14:paraId="60160886" w14:textId="545A8E07" w:rsidR="00A72206" w:rsidRPr="00624326" w:rsidRDefault="008A07E6" w:rsidP="00C81868">
      <w:pPr>
        <w:pStyle w:val="Heading1para"/>
        <w:numPr>
          <w:ilvl w:val="0"/>
          <w:numId w:val="40"/>
        </w:numPr>
        <w:contextualSpacing/>
        <w:rPr>
          <w:szCs w:val="22"/>
        </w:rPr>
      </w:pPr>
      <w:r>
        <w:rPr>
          <w:szCs w:val="22"/>
        </w:rPr>
        <w:t>WaTech</w:t>
      </w:r>
      <w:r w:rsidR="00C81868">
        <w:rPr>
          <w:szCs w:val="22"/>
        </w:rPr>
        <w:t xml:space="preserve"> System sends number to Vendor; Vendor passes this number to the PSTN.</w:t>
      </w:r>
    </w:p>
    <w:p w14:paraId="4851D758" w14:textId="06109ABA" w:rsidR="00A72206" w:rsidRPr="00624326" w:rsidRDefault="008A07E6" w:rsidP="00C81868">
      <w:pPr>
        <w:pStyle w:val="Heading1para"/>
        <w:numPr>
          <w:ilvl w:val="0"/>
          <w:numId w:val="40"/>
        </w:numPr>
        <w:contextualSpacing/>
        <w:rPr>
          <w:szCs w:val="22"/>
        </w:rPr>
      </w:pPr>
      <w:r>
        <w:rPr>
          <w:szCs w:val="22"/>
        </w:rPr>
        <w:t>WaTech</w:t>
      </w:r>
      <w:r w:rsidR="00C81868">
        <w:rPr>
          <w:szCs w:val="22"/>
        </w:rPr>
        <w:t xml:space="preserve"> System sends no number to Vendor; Vendor will send default number or a description such as “Private” or “Unknown.”</w:t>
      </w:r>
    </w:p>
    <w:p w14:paraId="636CCBED" w14:textId="77777777" w:rsidR="00137D16" w:rsidRPr="0066555D" w:rsidRDefault="00137D16" w:rsidP="00624326">
      <w:pPr>
        <w:pStyle w:val="Heading2"/>
        <w:numPr>
          <w:ilvl w:val="1"/>
          <w:numId w:val="14"/>
        </w:numPr>
        <w:tabs>
          <w:tab w:val="left" w:pos="1620"/>
        </w:tabs>
        <w:ind w:left="1620"/>
      </w:pPr>
      <w:r w:rsidRPr="0066555D">
        <w:t>Vendor must support 10-digit format for incoming DID calls.</w:t>
      </w:r>
    </w:p>
    <w:p w14:paraId="5FD82733" w14:textId="77777777" w:rsidR="00137D16" w:rsidRPr="0066555D" w:rsidRDefault="00137D16" w:rsidP="00624326">
      <w:pPr>
        <w:pStyle w:val="Heading2"/>
        <w:numPr>
          <w:ilvl w:val="1"/>
          <w:numId w:val="14"/>
        </w:numPr>
        <w:tabs>
          <w:tab w:val="left" w:pos="1620"/>
        </w:tabs>
        <w:ind w:left="1620"/>
      </w:pPr>
      <w:r w:rsidRPr="0066555D">
        <w:t>Vendor must support 10-digit format for out-dialing calls.</w:t>
      </w:r>
    </w:p>
    <w:p w14:paraId="0264C325" w14:textId="77777777" w:rsidR="00137D16" w:rsidRDefault="00624326" w:rsidP="00624326">
      <w:pPr>
        <w:pStyle w:val="Heading2"/>
        <w:numPr>
          <w:ilvl w:val="1"/>
          <w:numId w:val="14"/>
        </w:numPr>
        <w:tabs>
          <w:tab w:val="left" w:pos="1620"/>
        </w:tabs>
        <w:ind w:left="1620"/>
      </w:pPr>
      <w:r>
        <w:t>V</w:t>
      </w:r>
      <w:r w:rsidR="00137D16" w:rsidRPr="0066555D">
        <w:t>endor’s network must support Fax and Modem calling.</w:t>
      </w:r>
    </w:p>
    <w:p w14:paraId="6E9F2054" w14:textId="43B2E576" w:rsidR="000477EA" w:rsidRPr="003456D1" w:rsidRDefault="000477EA" w:rsidP="000477EA">
      <w:pPr>
        <w:pStyle w:val="Heading2"/>
        <w:numPr>
          <w:ilvl w:val="1"/>
          <w:numId w:val="14"/>
        </w:numPr>
        <w:tabs>
          <w:tab w:val="left" w:pos="1620"/>
        </w:tabs>
        <w:ind w:left="1620"/>
      </w:pPr>
      <w:r w:rsidRPr="003456D1">
        <w:t xml:space="preserve">If requested by </w:t>
      </w:r>
      <w:r w:rsidR="008A07E6">
        <w:t>WaTech</w:t>
      </w:r>
      <w:r>
        <w:t>, the Vendor will configure</w:t>
      </w:r>
      <w:r w:rsidRPr="003456D1">
        <w:t xml:space="preserve"> </w:t>
      </w:r>
      <w:r w:rsidR="009B3DFC">
        <w:t>T-1</w:t>
      </w:r>
      <w:r w:rsidRPr="003456D1">
        <w:t>(s) to send L</w:t>
      </w:r>
      <w:r>
        <w:t xml:space="preserve">ong </w:t>
      </w:r>
      <w:r w:rsidRPr="003456D1">
        <w:t>D</w:t>
      </w:r>
      <w:r>
        <w:t>istance</w:t>
      </w:r>
      <w:r w:rsidRPr="003456D1">
        <w:t xml:space="preserve"> calls to a </w:t>
      </w:r>
      <w:r w:rsidR="008A07E6">
        <w:t>WaTech</w:t>
      </w:r>
      <w:r w:rsidRPr="003456D1">
        <w:t xml:space="preserve"> defined Presubscribed Interexchange Carrier Code (PICC). </w:t>
      </w:r>
    </w:p>
    <w:p w14:paraId="69A83811" w14:textId="77777777" w:rsidR="000477EA" w:rsidRPr="003456D1" w:rsidRDefault="000477EA" w:rsidP="000477EA">
      <w:pPr>
        <w:pStyle w:val="Heading2"/>
        <w:numPr>
          <w:ilvl w:val="1"/>
          <w:numId w:val="14"/>
        </w:numPr>
        <w:tabs>
          <w:tab w:val="left" w:pos="1620"/>
        </w:tabs>
        <w:ind w:left="1620"/>
      </w:pPr>
      <w:r w:rsidRPr="003456D1">
        <w:t>Vendor must support domestic (intra/interstate) and international L</w:t>
      </w:r>
      <w:r>
        <w:t xml:space="preserve">ong </w:t>
      </w:r>
      <w:r w:rsidRPr="003456D1">
        <w:t>D</w:t>
      </w:r>
      <w:r>
        <w:t>istance</w:t>
      </w:r>
      <w:r w:rsidRPr="003456D1">
        <w:t xml:space="preserve"> calling.</w:t>
      </w:r>
    </w:p>
    <w:p w14:paraId="757BD730" w14:textId="77777777" w:rsidR="000477EA" w:rsidRPr="003456D1" w:rsidRDefault="000477EA" w:rsidP="000477EA">
      <w:pPr>
        <w:pStyle w:val="Heading2"/>
        <w:numPr>
          <w:ilvl w:val="1"/>
          <w:numId w:val="14"/>
        </w:numPr>
        <w:tabs>
          <w:tab w:val="left" w:pos="1620"/>
        </w:tabs>
        <w:ind w:left="1620"/>
      </w:pPr>
      <w:r w:rsidRPr="003456D1">
        <w:t>Unlimited local calling must be included in the monthly rate.</w:t>
      </w:r>
    </w:p>
    <w:p w14:paraId="2AFB45AC" w14:textId="77777777" w:rsidR="00B82375" w:rsidRPr="003456D1" w:rsidRDefault="00B82375" w:rsidP="00B82375">
      <w:pPr>
        <w:pStyle w:val="Heading2"/>
        <w:numPr>
          <w:ilvl w:val="1"/>
          <w:numId w:val="14"/>
        </w:numPr>
        <w:tabs>
          <w:tab w:val="left" w:pos="1620"/>
        </w:tabs>
        <w:ind w:left="1620"/>
      </w:pPr>
      <w:r w:rsidRPr="003456D1">
        <w:t>Number portability</w:t>
      </w:r>
    </w:p>
    <w:p w14:paraId="04ACAD6E" w14:textId="5D37690F" w:rsidR="00B82375" w:rsidRPr="003456D1" w:rsidRDefault="00B82375" w:rsidP="00C81868">
      <w:pPr>
        <w:pStyle w:val="Heading2"/>
        <w:numPr>
          <w:ilvl w:val="2"/>
          <w:numId w:val="14"/>
        </w:numPr>
        <w:tabs>
          <w:tab w:val="left" w:pos="1620"/>
        </w:tabs>
      </w:pPr>
      <w:r w:rsidRPr="003456D1">
        <w:t xml:space="preserve">All current users must be able to retain their existing telephone numbers. </w:t>
      </w:r>
    </w:p>
    <w:p w14:paraId="6F86158C" w14:textId="77777777" w:rsidR="00137D16" w:rsidRPr="00726A72" w:rsidRDefault="00137D16" w:rsidP="00EA56DE">
      <w:pPr>
        <w:pStyle w:val="Heading1"/>
        <w:numPr>
          <w:ilvl w:val="0"/>
          <w:numId w:val="14"/>
        </w:numPr>
      </w:pPr>
      <w:r w:rsidRPr="00726A72">
        <w:t>Maintenance</w:t>
      </w:r>
      <w:bookmarkEnd w:id="26"/>
      <w:bookmarkEnd w:id="27"/>
    </w:p>
    <w:p w14:paraId="05F58BBB" w14:textId="77777777" w:rsidR="00137D16" w:rsidRPr="00624326" w:rsidRDefault="00137D16" w:rsidP="00624326">
      <w:pPr>
        <w:pStyle w:val="Heading2"/>
        <w:tabs>
          <w:tab w:val="left" w:pos="1620"/>
        </w:tabs>
        <w:ind w:left="720"/>
      </w:pPr>
      <w:r w:rsidRPr="00624326">
        <w:t>Contractor shall perform maintenance consistent with the following:</w:t>
      </w:r>
    </w:p>
    <w:p w14:paraId="37FE3FC1" w14:textId="77777777" w:rsidR="00137D16" w:rsidRPr="00624326" w:rsidRDefault="00137D16" w:rsidP="00EA56DE">
      <w:pPr>
        <w:pStyle w:val="Heading2"/>
        <w:numPr>
          <w:ilvl w:val="1"/>
          <w:numId w:val="14"/>
        </w:numPr>
        <w:tabs>
          <w:tab w:val="left" w:pos="1620"/>
        </w:tabs>
        <w:ind w:left="1620"/>
      </w:pPr>
      <w:r w:rsidRPr="00624326">
        <w:t>Contractor shall conduct routine maintenance outside the hours of 6:00 a.m.to 10:00 p.m. Pacific Standard or Daylight Time.</w:t>
      </w:r>
    </w:p>
    <w:p w14:paraId="2FE09925" w14:textId="56D3DE9E" w:rsidR="00137D16" w:rsidRPr="00624326" w:rsidRDefault="00137D16" w:rsidP="00EA56DE">
      <w:pPr>
        <w:pStyle w:val="Heading2"/>
        <w:numPr>
          <w:ilvl w:val="1"/>
          <w:numId w:val="14"/>
        </w:numPr>
        <w:tabs>
          <w:tab w:val="left" w:pos="1620"/>
        </w:tabs>
        <w:ind w:left="1620"/>
      </w:pPr>
      <w:r w:rsidRPr="00624326">
        <w:lastRenderedPageBreak/>
        <w:t>Contr</w:t>
      </w:r>
      <w:r w:rsidR="00FE13E7" w:rsidRPr="00624326">
        <w:t xml:space="preserve">actor must provide a minimum of </w:t>
      </w:r>
      <w:r w:rsidRPr="00624326">
        <w:t>seven (7) day</w:t>
      </w:r>
      <w:r w:rsidR="00FE13E7" w:rsidRPr="00624326">
        <w:t>s</w:t>
      </w:r>
      <w:r w:rsidRPr="00624326">
        <w:t xml:space="preserve"> notice to </w:t>
      </w:r>
      <w:r w:rsidR="008A07E6">
        <w:t>WaTech</w:t>
      </w:r>
      <w:r w:rsidRPr="00624326">
        <w:t xml:space="preserve"> prior to performing maintenance which will be service impacting. Notice must be provided to </w:t>
      </w:r>
      <w:hyperlink r:id="rId11" w:history="1">
        <w:r w:rsidR="00C361D1">
          <w:rPr>
            <w:u w:val="single"/>
          </w:rPr>
          <w:t>Support@watech.wa.gov</w:t>
        </w:r>
      </w:hyperlink>
      <w:r w:rsidRPr="00624326">
        <w:t xml:space="preserve"> and </w:t>
      </w:r>
      <w:hyperlink r:id="rId12" w:tgtFrame="_blank" w:tooltip="mailto:noc@watech.wa.gov" w:history="1">
        <w:r w:rsidR="00EA7ABB">
          <w:rPr>
            <w:rStyle w:val="Hyperlink"/>
          </w:rPr>
          <w:t>NOC@watech.wa.gov</w:t>
        </w:r>
      </w:hyperlink>
    </w:p>
    <w:p w14:paraId="565FE599" w14:textId="3C7027FE" w:rsidR="00137D16" w:rsidRPr="00624326" w:rsidRDefault="00137D16" w:rsidP="00EA56DE">
      <w:pPr>
        <w:pStyle w:val="Heading2"/>
        <w:numPr>
          <w:ilvl w:val="1"/>
          <w:numId w:val="14"/>
        </w:numPr>
        <w:tabs>
          <w:tab w:val="left" w:pos="1620"/>
        </w:tabs>
        <w:ind w:left="1620"/>
      </w:pPr>
      <w:r w:rsidRPr="00624326">
        <w:t>Contra</w:t>
      </w:r>
      <w:r w:rsidR="00FE13E7" w:rsidRPr="00624326">
        <w:t>ctor must provide three (3) days</w:t>
      </w:r>
      <w:r w:rsidRPr="00624326">
        <w:t xml:space="preserve"> notice to </w:t>
      </w:r>
      <w:r w:rsidR="008A07E6">
        <w:t>WaTech</w:t>
      </w:r>
      <w:r w:rsidRPr="00624326">
        <w:t xml:space="preserve"> prior to performing maintenance which is not expected to be service impacting.</w:t>
      </w:r>
    </w:p>
    <w:p w14:paraId="37F81186" w14:textId="77777777" w:rsidR="00137D16" w:rsidRPr="00624326" w:rsidRDefault="00137D16" w:rsidP="00EA56DE">
      <w:pPr>
        <w:pStyle w:val="Heading2"/>
        <w:numPr>
          <w:ilvl w:val="1"/>
          <w:numId w:val="14"/>
        </w:numPr>
        <w:tabs>
          <w:tab w:val="left" w:pos="1620"/>
        </w:tabs>
        <w:ind w:left="1620"/>
      </w:pPr>
      <w:r w:rsidRPr="00624326">
        <w:t xml:space="preserve">For purposes of this section, </w:t>
      </w:r>
      <w:r w:rsidR="004B0328">
        <w:t>S</w:t>
      </w:r>
      <w:r w:rsidRPr="00624326">
        <w:t xml:space="preserve">ervice </w:t>
      </w:r>
      <w:r w:rsidR="00C361D1">
        <w:t>I</w:t>
      </w:r>
      <w:r w:rsidRPr="00624326">
        <w:t xml:space="preserve">mpacting means the </w:t>
      </w:r>
      <w:r w:rsidR="004E4DDF">
        <w:t>Service</w:t>
      </w:r>
      <w:r w:rsidRPr="00624326">
        <w:t xml:space="preserve"> is degraded and is either operating within the SLA Specifications or not operating within the SLA Specifications.</w:t>
      </w:r>
    </w:p>
    <w:p w14:paraId="42C50D95" w14:textId="64767318" w:rsidR="00137D16" w:rsidRPr="00624326" w:rsidRDefault="00137D16" w:rsidP="00EA56DE">
      <w:pPr>
        <w:pStyle w:val="Heading2"/>
        <w:numPr>
          <w:ilvl w:val="1"/>
          <w:numId w:val="14"/>
        </w:numPr>
        <w:tabs>
          <w:tab w:val="left" w:pos="1620"/>
        </w:tabs>
        <w:ind w:left="1620"/>
      </w:pPr>
      <w:r w:rsidRPr="00624326">
        <w:t xml:space="preserve">Contractor must defer </w:t>
      </w:r>
      <w:r w:rsidR="004E4DDF">
        <w:t>s</w:t>
      </w:r>
      <w:r w:rsidRPr="00624326">
        <w:t xml:space="preserve">ervice impacting maintenance for up to forty eight (48) hours upon request from </w:t>
      </w:r>
      <w:r w:rsidR="008A07E6">
        <w:t>WaTech</w:t>
      </w:r>
      <w:r w:rsidRPr="00624326">
        <w:t>.  Requests must be made at a minimum of twenty four (24) hours before the maintenance is scheduled.</w:t>
      </w:r>
    </w:p>
    <w:p w14:paraId="1CA6E70C" w14:textId="050B30CD" w:rsidR="00137D16" w:rsidRPr="00624326" w:rsidRDefault="00137D16" w:rsidP="00EA56DE">
      <w:pPr>
        <w:pStyle w:val="Heading2"/>
        <w:numPr>
          <w:ilvl w:val="1"/>
          <w:numId w:val="14"/>
        </w:numPr>
        <w:tabs>
          <w:tab w:val="left" w:pos="1620"/>
        </w:tabs>
        <w:ind w:left="1620"/>
      </w:pPr>
      <w:r w:rsidRPr="00624326">
        <w:t xml:space="preserve">Contractor may undertake Emergency Maintenance during the defined maintenance window and will provide </w:t>
      </w:r>
      <w:r w:rsidR="008A07E6">
        <w:t>WaTech</w:t>
      </w:r>
      <w:r w:rsidRPr="00624326">
        <w:t xml:space="preserve"> with notice of such Emergency Maintenance as soon as commercially practicable under the circumstances.</w:t>
      </w:r>
    </w:p>
    <w:p w14:paraId="49FA69A3" w14:textId="7567DB8E" w:rsidR="00137D16" w:rsidRPr="00624326" w:rsidRDefault="00137D16" w:rsidP="00EA56DE">
      <w:pPr>
        <w:pStyle w:val="Heading2"/>
        <w:numPr>
          <w:ilvl w:val="1"/>
          <w:numId w:val="14"/>
        </w:numPr>
        <w:tabs>
          <w:tab w:val="left" w:pos="1620"/>
        </w:tabs>
        <w:ind w:left="1620"/>
      </w:pPr>
      <w:r w:rsidRPr="00624326">
        <w:t xml:space="preserve">Notice shall include at a minimum: the </w:t>
      </w:r>
      <w:r w:rsidR="008A07E6">
        <w:t>WaTech</w:t>
      </w:r>
      <w:r w:rsidRPr="00624326">
        <w:t xml:space="preserve"> Site name; Site address and carrier </w:t>
      </w:r>
      <w:r w:rsidR="008D4AB1" w:rsidRPr="00624326">
        <w:t>Billing Telephone Number or C</w:t>
      </w:r>
      <w:r w:rsidRPr="00624326">
        <w:t>ircuit ID number</w:t>
      </w:r>
      <w:r w:rsidR="004B0328">
        <w:t>, and estimated duration of the maintenance</w:t>
      </w:r>
      <w:r w:rsidRPr="00624326">
        <w:t>.</w:t>
      </w:r>
    </w:p>
    <w:p w14:paraId="26B3677C" w14:textId="77777777" w:rsidR="004C4AB3" w:rsidRPr="00624326" w:rsidRDefault="004C4AB3" w:rsidP="00624326">
      <w:pPr>
        <w:pStyle w:val="Heading1para"/>
        <w:numPr>
          <w:ilvl w:val="0"/>
          <w:numId w:val="22"/>
        </w:numPr>
        <w:contextualSpacing/>
        <w:rPr>
          <w:szCs w:val="22"/>
        </w:rPr>
      </w:pPr>
      <w:proofErr w:type="gramStart"/>
      <w:r w:rsidRPr="00624326">
        <w:rPr>
          <w:szCs w:val="22"/>
        </w:rPr>
        <w:t>PRI’s</w:t>
      </w:r>
      <w:proofErr w:type="gramEnd"/>
      <w:r w:rsidRPr="00624326">
        <w:rPr>
          <w:szCs w:val="22"/>
        </w:rPr>
        <w:t xml:space="preserve"> should include both the </w:t>
      </w:r>
      <w:r w:rsidR="00212435" w:rsidRPr="00624326">
        <w:rPr>
          <w:szCs w:val="22"/>
        </w:rPr>
        <w:t>“</w:t>
      </w:r>
      <w:r w:rsidRPr="00624326">
        <w:rPr>
          <w:szCs w:val="22"/>
        </w:rPr>
        <w:t>A</w:t>
      </w:r>
      <w:r w:rsidR="00212435" w:rsidRPr="00624326">
        <w:rPr>
          <w:szCs w:val="22"/>
        </w:rPr>
        <w:t>”</w:t>
      </w:r>
      <w:r w:rsidRPr="00624326">
        <w:rPr>
          <w:szCs w:val="22"/>
        </w:rPr>
        <w:t xml:space="preserve"> location and </w:t>
      </w:r>
      <w:r w:rsidR="00212435" w:rsidRPr="00624326">
        <w:rPr>
          <w:szCs w:val="22"/>
        </w:rPr>
        <w:t>“</w:t>
      </w:r>
      <w:r w:rsidRPr="00624326">
        <w:rPr>
          <w:szCs w:val="22"/>
        </w:rPr>
        <w:t>Z</w:t>
      </w:r>
      <w:r w:rsidR="00212435" w:rsidRPr="00624326">
        <w:rPr>
          <w:szCs w:val="22"/>
        </w:rPr>
        <w:t>”</w:t>
      </w:r>
      <w:r w:rsidRPr="00624326">
        <w:rPr>
          <w:szCs w:val="22"/>
        </w:rPr>
        <w:t xml:space="preserve"> location addresses (for those assigned CFA).</w:t>
      </w:r>
    </w:p>
    <w:p w14:paraId="4B95CEA5" w14:textId="77777777" w:rsidR="00137D16" w:rsidRPr="00726A72" w:rsidRDefault="00137D16" w:rsidP="00B3500F">
      <w:pPr>
        <w:pStyle w:val="Heading1"/>
        <w:numPr>
          <w:ilvl w:val="0"/>
          <w:numId w:val="14"/>
        </w:numPr>
      </w:pPr>
      <w:bookmarkStart w:id="30" w:name="_Toc477777621"/>
      <w:r w:rsidRPr="00726A72">
        <w:t>Service Repair and Trouble Reporting</w:t>
      </w:r>
      <w:bookmarkEnd w:id="28"/>
      <w:bookmarkEnd w:id="30"/>
    </w:p>
    <w:p w14:paraId="4D257E89" w14:textId="77777777" w:rsidR="00137D16" w:rsidRPr="00624326" w:rsidRDefault="00137D16" w:rsidP="00B3500F">
      <w:pPr>
        <w:pStyle w:val="Heading2"/>
        <w:numPr>
          <w:ilvl w:val="1"/>
          <w:numId w:val="14"/>
        </w:numPr>
        <w:tabs>
          <w:tab w:val="left" w:pos="1620"/>
        </w:tabs>
        <w:ind w:left="1620"/>
      </w:pPr>
      <w:r w:rsidRPr="00624326">
        <w:t>Response to Trouble Reports</w:t>
      </w:r>
    </w:p>
    <w:p w14:paraId="32742B82" w14:textId="4E90A77A" w:rsidR="00137D16" w:rsidRPr="00624326" w:rsidRDefault="00137D16" w:rsidP="00624326">
      <w:pPr>
        <w:pStyle w:val="Heading1para"/>
        <w:numPr>
          <w:ilvl w:val="0"/>
          <w:numId w:val="25"/>
        </w:numPr>
        <w:contextualSpacing/>
        <w:rPr>
          <w:szCs w:val="22"/>
        </w:rPr>
      </w:pPr>
      <w:r w:rsidRPr="00624326">
        <w:rPr>
          <w:szCs w:val="22"/>
        </w:rPr>
        <w:t xml:space="preserve">Contractor must provide a toll-free trouble reporting number to </w:t>
      </w:r>
      <w:r w:rsidR="008A07E6">
        <w:rPr>
          <w:szCs w:val="22"/>
        </w:rPr>
        <w:t>WaTech</w:t>
      </w:r>
      <w:r w:rsidRPr="00624326">
        <w:rPr>
          <w:szCs w:val="22"/>
        </w:rPr>
        <w:t>.</w:t>
      </w:r>
    </w:p>
    <w:p w14:paraId="2DB5D69F" w14:textId="77777777" w:rsidR="008930E6" w:rsidRPr="00624326" w:rsidRDefault="00137D16" w:rsidP="00624326">
      <w:pPr>
        <w:pStyle w:val="Heading1para"/>
        <w:numPr>
          <w:ilvl w:val="0"/>
          <w:numId w:val="25"/>
        </w:numPr>
        <w:contextualSpacing/>
        <w:rPr>
          <w:szCs w:val="22"/>
        </w:rPr>
      </w:pPr>
      <w:r w:rsidRPr="00624326">
        <w:rPr>
          <w:szCs w:val="22"/>
        </w:rPr>
        <w:t xml:space="preserve">Contractor must provide support for the Services delivered including twenty </w:t>
      </w:r>
      <w:proofErr w:type="gramStart"/>
      <w:r w:rsidRPr="00624326">
        <w:rPr>
          <w:szCs w:val="22"/>
        </w:rPr>
        <w:t>four(</w:t>
      </w:r>
      <w:proofErr w:type="gramEnd"/>
      <w:r w:rsidRPr="00624326">
        <w:rPr>
          <w:szCs w:val="22"/>
        </w:rPr>
        <w:t>24) hours a day, seven (7) days a week, three hundred sixty five (365) days per year call center, monitoring, fault detection, problem isolation, escalation, and restoration management of supported Services, networks, and equipment.</w:t>
      </w:r>
    </w:p>
    <w:p w14:paraId="33F754AC" w14:textId="3AC9EC08" w:rsidR="00137D16" w:rsidRPr="00624326" w:rsidRDefault="008A07E6" w:rsidP="00624326">
      <w:pPr>
        <w:pStyle w:val="Heading1para"/>
        <w:numPr>
          <w:ilvl w:val="0"/>
          <w:numId w:val="25"/>
        </w:numPr>
        <w:contextualSpacing/>
        <w:rPr>
          <w:szCs w:val="22"/>
        </w:rPr>
      </w:pPr>
      <w:r>
        <w:rPr>
          <w:szCs w:val="22"/>
        </w:rPr>
        <w:t>WaTech</w:t>
      </w:r>
      <w:r w:rsidR="00137D16" w:rsidRPr="00624326">
        <w:rPr>
          <w:szCs w:val="22"/>
        </w:rPr>
        <w:t xml:space="preserve"> shall receive its first response within thirty (30) minutes of placing a Trouble Ticket with the Contractor. For purposes of this section, Trouble Ticket shall mean the ticket notification system Contractor uses for </w:t>
      </w:r>
      <w:r>
        <w:rPr>
          <w:szCs w:val="22"/>
        </w:rPr>
        <w:t>WaTech</w:t>
      </w:r>
      <w:r w:rsidR="00137D16" w:rsidRPr="00624326">
        <w:rPr>
          <w:szCs w:val="22"/>
        </w:rPr>
        <w:t xml:space="preserve"> to report incidents and Outages. For purposes of this section, first response shall mean a phone call to </w:t>
      </w:r>
      <w:r>
        <w:rPr>
          <w:szCs w:val="22"/>
        </w:rPr>
        <w:t>WaTech</w:t>
      </w:r>
      <w:r w:rsidR="00137D16" w:rsidRPr="00624326">
        <w:rPr>
          <w:szCs w:val="22"/>
        </w:rPr>
        <w:t xml:space="preserve"> Network Operations staff or via email address: </w:t>
      </w:r>
      <w:hyperlink r:id="rId13" w:tgtFrame="_blank" w:tooltip="mailto:noc@watech.wa.gov" w:history="1">
        <w:r w:rsidR="00EA7ABB">
          <w:rPr>
            <w:rStyle w:val="Hyperlink"/>
          </w:rPr>
          <w:t>NOC@watech.wa.gov</w:t>
        </w:r>
      </w:hyperlink>
      <w:r w:rsidR="00EA7ABB">
        <w:t>.</w:t>
      </w:r>
    </w:p>
    <w:p w14:paraId="32782C31" w14:textId="3AC1B148" w:rsidR="00137D16" w:rsidRPr="00624326" w:rsidRDefault="00137D16" w:rsidP="00624326">
      <w:pPr>
        <w:pStyle w:val="Heading1para"/>
        <w:numPr>
          <w:ilvl w:val="0"/>
          <w:numId w:val="25"/>
        </w:numPr>
        <w:contextualSpacing/>
        <w:rPr>
          <w:szCs w:val="22"/>
        </w:rPr>
      </w:pPr>
      <w:r w:rsidRPr="00624326">
        <w:rPr>
          <w:szCs w:val="22"/>
        </w:rPr>
        <w:t xml:space="preserve">Contractor shall provide periodic status report (type of problem, estimated time to repair, Contractor ticket number) to the </w:t>
      </w:r>
      <w:r w:rsidR="008A07E6">
        <w:rPr>
          <w:szCs w:val="22"/>
        </w:rPr>
        <w:t>WaTech</w:t>
      </w:r>
      <w:r w:rsidRPr="00624326">
        <w:rPr>
          <w:szCs w:val="22"/>
        </w:rPr>
        <w:t xml:space="preserve"> Network Operations Center for all Service problems and issues. </w:t>
      </w:r>
      <w:r w:rsidR="009D5212">
        <w:t>Contractor</w:t>
      </w:r>
      <w:r w:rsidR="009D5212" w:rsidRPr="003456D1">
        <w:t xml:space="preserve"> </w:t>
      </w:r>
      <w:r w:rsidR="00025771" w:rsidRPr="003456D1">
        <w:t>must p</w:t>
      </w:r>
      <w:r w:rsidR="00025771">
        <w:t>rovide</w:t>
      </w:r>
      <w:r w:rsidR="00025771" w:rsidRPr="003456D1">
        <w:t xml:space="preserve"> updates on major problems every 2 hour</w:t>
      </w:r>
      <w:r w:rsidR="00025771">
        <w:t>s until the issue is resolved.</w:t>
      </w:r>
    </w:p>
    <w:p w14:paraId="4744283F" w14:textId="77777777" w:rsidR="00137D16" w:rsidRPr="00624326" w:rsidRDefault="00137D16" w:rsidP="00624326">
      <w:pPr>
        <w:pStyle w:val="Heading1para"/>
        <w:numPr>
          <w:ilvl w:val="0"/>
          <w:numId w:val="25"/>
        </w:numPr>
        <w:contextualSpacing/>
        <w:rPr>
          <w:szCs w:val="22"/>
        </w:rPr>
      </w:pPr>
      <w:r w:rsidRPr="00624326">
        <w:rPr>
          <w:szCs w:val="22"/>
        </w:rPr>
        <w:t xml:space="preserve">Contractor must obtain concurrence from customer that ticket has been resolved. </w:t>
      </w:r>
    </w:p>
    <w:p w14:paraId="1CC8C790" w14:textId="259C99BC" w:rsidR="00137D16" w:rsidRPr="00624326" w:rsidRDefault="00137D16" w:rsidP="00624326">
      <w:pPr>
        <w:pStyle w:val="Heading1para"/>
        <w:numPr>
          <w:ilvl w:val="0"/>
          <w:numId w:val="25"/>
        </w:numPr>
        <w:contextualSpacing/>
        <w:rPr>
          <w:szCs w:val="22"/>
        </w:rPr>
      </w:pPr>
      <w:r w:rsidRPr="00624326">
        <w:rPr>
          <w:szCs w:val="22"/>
        </w:rPr>
        <w:t xml:space="preserve">Contractor must maintain a repair log listing the date of the repair occurrence, problem found, action taken to resolve the problem, and the total out-of-service time for problems and issues impacting </w:t>
      </w:r>
      <w:r w:rsidR="008A07E6">
        <w:rPr>
          <w:szCs w:val="22"/>
        </w:rPr>
        <w:t>WaTech</w:t>
      </w:r>
      <w:r w:rsidRPr="00624326">
        <w:rPr>
          <w:szCs w:val="22"/>
        </w:rPr>
        <w:t>.</w:t>
      </w:r>
    </w:p>
    <w:p w14:paraId="5D9CAE83" w14:textId="77777777" w:rsidR="00137D16" w:rsidRPr="00624326" w:rsidRDefault="00137D16" w:rsidP="00624326">
      <w:pPr>
        <w:pStyle w:val="Heading1para"/>
        <w:numPr>
          <w:ilvl w:val="0"/>
          <w:numId w:val="25"/>
        </w:numPr>
        <w:contextualSpacing/>
        <w:rPr>
          <w:szCs w:val="22"/>
        </w:rPr>
      </w:pPr>
      <w:r w:rsidRPr="00624326">
        <w:rPr>
          <w:szCs w:val="22"/>
        </w:rPr>
        <w:t>Contractor must provide support/helpdesk service based in the domestic United States.</w:t>
      </w:r>
    </w:p>
    <w:p w14:paraId="5EDFB134" w14:textId="77777777" w:rsidR="00137D16" w:rsidRPr="00624326" w:rsidRDefault="00137D16" w:rsidP="00B3500F">
      <w:pPr>
        <w:pStyle w:val="Heading2"/>
        <w:numPr>
          <w:ilvl w:val="1"/>
          <w:numId w:val="14"/>
        </w:numPr>
        <w:tabs>
          <w:tab w:val="left" w:pos="1620"/>
        </w:tabs>
        <w:ind w:left="1620"/>
      </w:pPr>
      <w:r w:rsidRPr="00624326">
        <w:t>Reason for Outage</w:t>
      </w:r>
    </w:p>
    <w:p w14:paraId="469DFB05" w14:textId="5700B659" w:rsidR="00137D16" w:rsidRPr="00624326" w:rsidRDefault="008A07E6" w:rsidP="00624326">
      <w:pPr>
        <w:pStyle w:val="Heading1para"/>
        <w:numPr>
          <w:ilvl w:val="0"/>
          <w:numId w:val="26"/>
        </w:numPr>
        <w:contextualSpacing/>
        <w:rPr>
          <w:szCs w:val="22"/>
        </w:rPr>
      </w:pPr>
      <w:r>
        <w:rPr>
          <w:szCs w:val="22"/>
        </w:rPr>
        <w:t>WaTech</w:t>
      </w:r>
      <w:r w:rsidR="00137D16" w:rsidRPr="00624326">
        <w:rPr>
          <w:szCs w:val="22"/>
        </w:rPr>
        <w:t xml:space="preserve"> shall receive a Reason for Outage (</w:t>
      </w:r>
      <w:r w:rsidR="00212435" w:rsidRPr="00624326">
        <w:rPr>
          <w:szCs w:val="22"/>
        </w:rPr>
        <w:t>“</w:t>
      </w:r>
      <w:r w:rsidR="00137D16" w:rsidRPr="00624326">
        <w:rPr>
          <w:szCs w:val="22"/>
        </w:rPr>
        <w:t>RFO</w:t>
      </w:r>
      <w:r w:rsidR="00212435" w:rsidRPr="00624326">
        <w:rPr>
          <w:szCs w:val="22"/>
        </w:rPr>
        <w:t>”</w:t>
      </w:r>
      <w:r w:rsidR="00137D16" w:rsidRPr="00624326">
        <w:rPr>
          <w:szCs w:val="22"/>
        </w:rPr>
        <w:t>) as follows:</w:t>
      </w:r>
    </w:p>
    <w:p w14:paraId="35B3D492" w14:textId="17F1B578" w:rsidR="00137D16" w:rsidRPr="00624326" w:rsidRDefault="00137D16" w:rsidP="00624326">
      <w:pPr>
        <w:pStyle w:val="ListParagraph"/>
        <w:numPr>
          <w:ilvl w:val="0"/>
          <w:numId w:val="13"/>
        </w:numPr>
        <w:rPr>
          <w:rFonts w:eastAsiaTheme="minorHAnsi"/>
          <w:szCs w:val="22"/>
        </w:rPr>
      </w:pPr>
      <w:r w:rsidRPr="00624326">
        <w:rPr>
          <w:rFonts w:eastAsiaTheme="minorHAnsi"/>
          <w:szCs w:val="22"/>
        </w:rPr>
        <w:lastRenderedPageBreak/>
        <w:t xml:space="preserve">A preliminary, non-official per incident Reason for Outage (RFO) must be provided by email or by verbal conversation to </w:t>
      </w:r>
      <w:r w:rsidR="008A07E6">
        <w:rPr>
          <w:rFonts w:eastAsiaTheme="minorHAnsi"/>
          <w:szCs w:val="22"/>
        </w:rPr>
        <w:t>WaTech’s</w:t>
      </w:r>
      <w:r w:rsidRPr="00624326">
        <w:rPr>
          <w:rFonts w:eastAsiaTheme="minorHAnsi"/>
          <w:szCs w:val="22"/>
        </w:rPr>
        <w:t xml:space="preserve"> Network Operations Center Technicians within two (2) hours of an incident being resolved.</w:t>
      </w:r>
    </w:p>
    <w:p w14:paraId="4EEEB224" w14:textId="77777777" w:rsidR="004F264B" w:rsidRPr="00624326" w:rsidRDefault="00137D16" w:rsidP="00624326">
      <w:pPr>
        <w:pStyle w:val="ListParagraph"/>
        <w:numPr>
          <w:ilvl w:val="0"/>
          <w:numId w:val="13"/>
        </w:numPr>
        <w:rPr>
          <w:rFonts w:eastAsiaTheme="minorHAnsi"/>
          <w:szCs w:val="22"/>
        </w:rPr>
      </w:pPr>
      <w:r w:rsidRPr="00624326">
        <w:rPr>
          <w:rFonts w:eastAsiaTheme="minorHAnsi"/>
          <w:szCs w:val="22"/>
        </w:rPr>
        <w:t>Major incidents that result in a breach of Service Level performance minimums, Contractor must provide an official RFO within seven (7) days, unless otherwise negotiated, after the incident causing the Outage is resolved.</w:t>
      </w:r>
    </w:p>
    <w:p w14:paraId="3634E565" w14:textId="77777777" w:rsidR="00137D16" w:rsidRPr="00624326" w:rsidRDefault="00137D16" w:rsidP="00B3500F">
      <w:pPr>
        <w:pStyle w:val="Heading2"/>
        <w:numPr>
          <w:ilvl w:val="1"/>
          <w:numId w:val="14"/>
        </w:numPr>
        <w:tabs>
          <w:tab w:val="left" w:pos="1620"/>
        </w:tabs>
        <w:ind w:left="1620"/>
      </w:pPr>
      <w:r w:rsidRPr="00624326">
        <w:t>End-to-End Service Monitoring and Test Capability</w:t>
      </w:r>
    </w:p>
    <w:p w14:paraId="26513720" w14:textId="77777777" w:rsidR="00137D16" w:rsidRPr="00624326" w:rsidRDefault="00137D16" w:rsidP="00624326">
      <w:pPr>
        <w:pStyle w:val="Heading1para"/>
        <w:numPr>
          <w:ilvl w:val="0"/>
          <w:numId w:val="24"/>
        </w:numPr>
        <w:contextualSpacing/>
        <w:rPr>
          <w:szCs w:val="22"/>
        </w:rPr>
      </w:pPr>
      <w:r w:rsidRPr="00624326">
        <w:rPr>
          <w:szCs w:val="22"/>
        </w:rPr>
        <w:t xml:space="preserve">Contractor must have the capability of monitoring the </w:t>
      </w:r>
      <w:r w:rsidR="004E4DDF">
        <w:rPr>
          <w:szCs w:val="22"/>
        </w:rPr>
        <w:t>Service</w:t>
      </w:r>
      <w:r w:rsidRPr="00624326">
        <w:rPr>
          <w:szCs w:val="22"/>
        </w:rPr>
        <w:t xml:space="preserve"> end-to-end and shall perform remote site testing as necessary to troubleshoot Service problems and issues</w:t>
      </w:r>
      <w:r w:rsidR="00025771">
        <w:rPr>
          <w:szCs w:val="22"/>
        </w:rPr>
        <w:t>.</w:t>
      </w:r>
    </w:p>
    <w:p w14:paraId="14BC7B87" w14:textId="77777777" w:rsidR="00137D16" w:rsidRPr="00624326" w:rsidRDefault="00137D16" w:rsidP="00B3500F">
      <w:pPr>
        <w:pStyle w:val="Heading2"/>
        <w:numPr>
          <w:ilvl w:val="1"/>
          <w:numId w:val="14"/>
        </w:numPr>
        <w:tabs>
          <w:tab w:val="left" w:pos="1620"/>
        </w:tabs>
        <w:ind w:left="1620"/>
      </w:pPr>
      <w:bookmarkStart w:id="31" w:name="_Toc461190692"/>
      <w:r w:rsidRPr="00624326">
        <w:t>Service Desk</w:t>
      </w:r>
      <w:bookmarkEnd w:id="31"/>
    </w:p>
    <w:p w14:paraId="1DDBA6AA" w14:textId="7A55751B" w:rsidR="00137D16" w:rsidRPr="00624326" w:rsidRDefault="009D5212" w:rsidP="00624326">
      <w:pPr>
        <w:pStyle w:val="Heading1para"/>
        <w:numPr>
          <w:ilvl w:val="0"/>
          <w:numId w:val="23"/>
        </w:numPr>
        <w:contextualSpacing/>
        <w:rPr>
          <w:szCs w:val="22"/>
        </w:rPr>
      </w:pPr>
      <w:r>
        <w:rPr>
          <w:szCs w:val="22"/>
        </w:rPr>
        <w:t>Contractor</w:t>
      </w:r>
      <w:r w:rsidRPr="00624326">
        <w:rPr>
          <w:szCs w:val="22"/>
        </w:rPr>
        <w:t xml:space="preserve"> </w:t>
      </w:r>
      <w:r w:rsidR="00137D16" w:rsidRPr="00624326">
        <w:rPr>
          <w:szCs w:val="22"/>
        </w:rPr>
        <w:t xml:space="preserve">must provide a dedicated Service Desk to process orders and trouble tickets for the </w:t>
      </w:r>
      <w:r w:rsidR="008A07E6">
        <w:rPr>
          <w:szCs w:val="22"/>
        </w:rPr>
        <w:t>WaTech</w:t>
      </w:r>
      <w:r w:rsidR="00025771" w:rsidRPr="00624326">
        <w:rPr>
          <w:szCs w:val="22"/>
        </w:rPr>
        <w:t xml:space="preserve"> </w:t>
      </w:r>
      <w:r w:rsidR="00212435" w:rsidRPr="00624326">
        <w:rPr>
          <w:szCs w:val="22"/>
        </w:rPr>
        <w:t>A</w:t>
      </w:r>
      <w:r w:rsidR="00137D16" w:rsidRPr="00624326">
        <w:rPr>
          <w:szCs w:val="22"/>
        </w:rPr>
        <w:t xml:space="preserve">ccount.  </w:t>
      </w:r>
    </w:p>
    <w:p w14:paraId="0E957937" w14:textId="65783551" w:rsidR="00137D16" w:rsidRPr="00624326" w:rsidRDefault="00137D16" w:rsidP="00624326">
      <w:pPr>
        <w:pStyle w:val="Heading1para"/>
        <w:numPr>
          <w:ilvl w:val="0"/>
          <w:numId w:val="23"/>
        </w:numPr>
        <w:contextualSpacing/>
        <w:rPr>
          <w:szCs w:val="22"/>
        </w:rPr>
      </w:pPr>
      <w:r w:rsidRPr="00624326">
        <w:rPr>
          <w:szCs w:val="22"/>
        </w:rPr>
        <w:t xml:space="preserve">Calls or e-mails must be answered or returned within </w:t>
      </w:r>
      <w:r w:rsidR="00025771">
        <w:rPr>
          <w:szCs w:val="22"/>
        </w:rPr>
        <w:t>3</w:t>
      </w:r>
      <w:r w:rsidRPr="00624326">
        <w:rPr>
          <w:szCs w:val="22"/>
        </w:rPr>
        <w:t xml:space="preserve">0 minutes from 7 AM to 6 PM PST during </w:t>
      </w:r>
      <w:r w:rsidR="008A07E6">
        <w:rPr>
          <w:szCs w:val="22"/>
        </w:rPr>
        <w:t>WaTech</w:t>
      </w:r>
      <w:r w:rsidR="00025771" w:rsidRPr="00624326">
        <w:rPr>
          <w:szCs w:val="22"/>
        </w:rPr>
        <w:t xml:space="preserve"> </w:t>
      </w:r>
      <w:r w:rsidRPr="00624326">
        <w:rPr>
          <w:szCs w:val="22"/>
        </w:rPr>
        <w:t>business days.</w:t>
      </w:r>
    </w:p>
    <w:p w14:paraId="1757E1F7" w14:textId="22CD73BE" w:rsidR="00137D16" w:rsidRPr="00624326" w:rsidRDefault="00137D16" w:rsidP="00624326">
      <w:pPr>
        <w:pStyle w:val="Heading1para"/>
        <w:numPr>
          <w:ilvl w:val="0"/>
          <w:numId w:val="23"/>
        </w:numPr>
        <w:contextualSpacing/>
        <w:rPr>
          <w:szCs w:val="22"/>
        </w:rPr>
      </w:pPr>
      <w:r w:rsidRPr="00624326">
        <w:rPr>
          <w:szCs w:val="22"/>
        </w:rPr>
        <w:t xml:space="preserve">Outside of these hours, calls or e-mails must be answered or returned within 4 hours from 7 AM to 6 PM PST during </w:t>
      </w:r>
      <w:r w:rsidR="008A07E6">
        <w:rPr>
          <w:szCs w:val="22"/>
        </w:rPr>
        <w:t>WaTech</w:t>
      </w:r>
      <w:r w:rsidR="00025771" w:rsidRPr="00624326">
        <w:rPr>
          <w:szCs w:val="22"/>
        </w:rPr>
        <w:t xml:space="preserve"> </w:t>
      </w:r>
      <w:r w:rsidRPr="00624326">
        <w:rPr>
          <w:szCs w:val="22"/>
        </w:rPr>
        <w:t>business days.</w:t>
      </w:r>
    </w:p>
    <w:p w14:paraId="21846FF0" w14:textId="77777777" w:rsidR="00137D16" w:rsidRPr="00726A72" w:rsidRDefault="00137D16" w:rsidP="00B3500F">
      <w:pPr>
        <w:pStyle w:val="Heading1"/>
        <w:numPr>
          <w:ilvl w:val="0"/>
          <w:numId w:val="14"/>
        </w:numPr>
      </w:pPr>
      <w:bookmarkStart w:id="32" w:name="_Toc467155066"/>
      <w:bookmarkStart w:id="33" w:name="_Toc477777622"/>
      <w:r w:rsidRPr="00726A72">
        <w:t xml:space="preserve">Service Level </w:t>
      </w:r>
      <w:bookmarkEnd w:id="32"/>
      <w:r w:rsidRPr="00726A72">
        <w:t>Remedies</w:t>
      </w:r>
      <w:bookmarkEnd w:id="33"/>
      <w:r w:rsidRPr="00726A72">
        <w:t xml:space="preserve">  </w:t>
      </w:r>
    </w:p>
    <w:p w14:paraId="70C70E4B" w14:textId="77777777" w:rsidR="003456D1" w:rsidRDefault="00137D16" w:rsidP="00B3500F">
      <w:pPr>
        <w:pStyle w:val="Heading2"/>
        <w:numPr>
          <w:ilvl w:val="1"/>
          <w:numId w:val="14"/>
        </w:numPr>
        <w:tabs>
          <w:tab w:val="left" w:pos="1620"/>
        </w:tabs>
        <w:ind w:left="1620"/>
      </w:pPr>
      <w:bookmarkStart w:id="34" w:name="_Toc467155067"/>
      <w:bookmarkStart w:id="35" w:name="_Toc472937894"/>
      <w:r w:rsidRPr="003456D1">
        <w:t>In addition to the terms set forth in this Contract, Contractor shall use best efforts to perform the Services in accordance with the Service Level Agreements, as set forth in herein.</w:t>
      </w:r>
      <w:bookmarkStart w:id="36" w:name="_Toc467155068"/>
      <w:bookmarkStart w:id="37" w:name="_Toc472937895"/>
      <w:bookmarkEnd w:id="34"/>
      <w:bookmarkEnd w:id="35"/>
    </w:p>
    <w:p w14:paraId="1F7C57B9" w14:textId="6BB0113D" w:rsidR="00137D16" w:rsidRPr="003456D1" w:rsidRDefault="00137D16" w:rsidP="00B3500F">
      <w:pPr>
        <w:pStyle w:val="Heading2"/>
        <w:numPr>
          <w:ilvl w:val="1"/>
          <w:numId w:val="14"/>
        </w:numPr>
        <w:tabs>
          <w:tab w:val="left" w:pos="1620"/>
        </w:tabs>
        <w:ind w:left="1620"/>
      </w:pPr>
      <w:r w:rsidRPr="003456D1">
        <w:t>In the event of any failure by Contractor to perform the Services in accordance with the Service Level Agreement (</w:t>
      </w:r>
      <w:r w:rsidR="00212435" w:rsidRPr="003456D1">
        <w:t>“</w:t>
      </w:r>
      <w:r w:rsidRPr="003456D1">
        <w:t>SLA</w:t>
      </w:r>
      <w:r w:rsidR="00212435" w:rsidRPr="003456D1">
        <w:t>”</w:t>
      </w:r>
      <w:r w:rsidRPr="003456D1">
        <w:t xml:space="preserve">), the Contract, and this Technical addendum, </w:t>
      </w:r>
      <w:r w:rsidR="008A07E6">
        <w:t>WaTech</w:t>
      </w:r>
      <w:r w:rsidRPr="003456D1">
        <w:t xml:space="preserve"> shall have a Service Availability Credit in the amount determined pursuant to the Contract, and this Technical addendum, including the percentages stated in the </w:t>
      </w:r>
      <w:r w:rsidR="00212435" w:rsidRPr="003456D1">
        <w:t>“</w:t>
      </w:r>
      <w:r w:rsidRPr="003456D1">
        <w:t>Service Level Credits</w:t>
      </w:r>
      <w:r w:rsidR="00212435" w:rsidRPr="003456D1">
        <w:t>”</w:t>
      </w:r>
      <w:r w:rsidRPr="003456D1">
        <w:t xml:space="preserve"> section below which </w:t>
      </w:r>
      <w:r w:rsidR="008A07E6">
        <w:t>WaTech</w:t>
      </w:r>
      <w:r w:rsidRPr="003456D1">
        <w:t xml:space="preserve"> may apply against payment of the fees and charges payable by the </w:t>
      </w:r>
      <w:r w:rsidR="008A07E6">
        <w:t>WaTech</w:t>
      </w:r>
      <w:r w:rsidRPr="003456D1">
        <w:t xml:space="preserve"> to Contractor in a subsequent calendar month; provided that such credit shall not exceed the amount paid or payable by </w:t>
      </w:r>
      <w:r w:rsidR="008A07E6">
        <w:t>WaTech</w:t>
      </w:r>
      <w:r w:rsidRPr="003456D1">
        <w:t xml:space="preserve"> to Contractor during the period or periods in which the Service Level Agreements were not met.</w:t>
      </w:r>
    </w:p>
    <w:p w14:paraId="003E0D15" w14:textId="737EF795" w:rsidR="00137D16" w:rsidRPr="003456D1" w:rsidRDefault="00137D16" w:rsidP="00B3500F">
      <w:pPr>
        <w:pStyle w:val="Heading2"/>
        <w:numPr>
          <w:ilvl w:val="1"/>
          <w:numId w:val="14"/>
        </w:numPr>
        <w:tabs>
          <w:tab w:val="left" w:pos="1620"/>
        </w:tabs>
        <w:ind w:left="1620"/>
      </w:pPr>
      <w:r w:rsidRPr="003456D1">
        <w:t xml:space="preserve">In the event that this Contract expires or terminates, Contractor shall pay an amount equal to any unused credits to </w:t>
      </w:r>
      <w:r w:rsidR="008A07E6">
        <w:t>WaTech</w:t>
      </w:r>
      <w:r w:rsidRPr="003456D1">
        <w:t xml:space="preserve"> within thirty (30) days after such termination or expiration.</w:t>
      </w:r>
      <w:bookmarkEnd w:id="36"/>
      <w:bookmarkEnd w:id="37"/>
    </w:p>
    <w:p w14:paraId="67888CEF" w14:textId="29722006" w:rsidR="00137D16" w:rsidRPr="003456D1" w:rsidRDefault="00137D16" w:rsidP="00B3500F">
      <w:pPr>
        <w:pStyle w:val="Heading2"/>
        <w:numPr>
          <w:ilvl w:val="1"/>
          <w:numId w:val="14"/>
        </w:numPr>
        <w:tabs>
          <w:tab w:val="left" w:pos="1620"/>
        </w:tabs>
        <w:ind w:left="1620"/>
      </w:pPr>
      <w:r w:rsidRPr="003456D1">
        <w:t xml:space="preserve">The Parties acknowledge and agree that, because of the unique nature of the Services contemplated by this Contract, it is difficult or impossible to determine with precision the specific amount of damages that might be incurred by </w:t>
      </w:r>
      <w:r w:rsidR="008A07E6">
        <w:t>WaTech</w:t>
      </w:r>
      <w:r w:rsidRPr="003456D1">
        <w:t xml:space="preserve"> or any </w:t>
      </w:r>
      <w:r w:rsidR="008A07E6">
        <w:t>WaTech</w:t>
      </w:r>
      <w:r w:rsidRPr="003456D1">
        <w:t xml:space="preserve"> User as a result of a failure of Contractor to meet the Service Level Agreements.</w:t>
      </w:r>
    </w:p>
    <w:p w14:paraId="7C939067" w14:textId="21580493" w:rsidR="00137D16" w:rsidRPr="003456D1" w:rsidRDefault="00137D16" w:rsidP="00B3500F">
      <w:pPr>
        <w:pStyle w:val="Heading2"/>
        <w:numPr>
          <w:ilvl w:val="1"/>
          <w:numId w:val="14"/>
        </w:numPr>
        <w:tabs>
          <w:tab w:val="left" w:pos="1620"/>
        </w:tabs>
        <w:ind w:left="1620"/>
      </w:pPr>
      <w:r w:rsidRPr="003456D1">
        <w:t xml:space="preserve">It is further understood and agreed by the Parties that </w:t>
      </w:r>
      <w:r w:rsidR="008A07E6">
        <w:t>WaTech</w:t>
      </w:r>
      <w:r w:rsidRPr="003456D1">
        <w:t xml:space="preserve"> shall be damaged by such failure of Contractor to meet the Service Level Agreements, and that any credits that become payable in the nature of Service Credits are not penalties, are fair and reasonable under the circumstances, and that such payments represent a reasonable estimate of fair compensation.</w:t>
      </w:r>
    </w:p>
    <w:p w14:paraId="4417B701" w14:textId="77777777" w:rsidR="00137D16" w:rsidRPr="003456D1" w:rsidRDefault="003456D1" w:rsidP="00B3500F">
      <w:pPr>
        <w:pStyle w:val="Heading2"/>
        <w:numPr>
          <w:ilvl w:val="1"/>
          <w:numId w:val="14"/>
        </w:numPr>
        <w:tabs>
          <w:tab w:val="left" w:pos="1620"/>
        </w:tabs>
        <w:ind w:left="1620"/>
      </w:pPr>
      <w:r>
        <w:t>S</w:t>
      </w:r>
      <w:r w:rsidR="00137D16" w:rsidRPr="003456D1">
        <w:t xml:space="preserve">ervice Level Credits shall be applied to the </w:t>
      </w:r>
      <w:r w:rsidR="00212435" w:rsidRPr="003456D1">
        <w:t>A</w:t>
      </w:r>
      <w:r w:rsidR="00137D16" w:rsidRPr="003456D1">
        <w:t xml:space="preserve">ccount within two billing cycles from which the month that the Outage or excessive Schedule Maintenance event(s) occurred.  Award of the credit in no way relieves the Contractor of responsibility to correct any </w:t>
      </w:r>
      <w:r w:rsidR="00137D16" w:rsidRPr="003456D1">
        <w:lastRenderedPageBreak/>
        <w:t>Outage event condition(s) and does not constitute an exclusive remedy for such Outage condition(s).</w:t>
      </w:r>
    </w:p>
    <w:p w14:paraId="5CD4774E" w14:textId="45E1439B" w:rsidR="00137D16" w:rsidRPr="003456D1" w:rsidRDefault="00137D16" w:rsidP="00B3500F">
      <w:pPr>
        <w:pStyle w:val="Heading2"/>
        <w:numPr>
          <w:ilvl w:val="1"/>
          <w:numId w:val="14"/>
        </w:numPr>
        <w:tabs>
          <w:tab w:val="left" w:pos="1620"/>
        </w:tabs>
        <w:ind w:left="1620"/>
      </w:pPr>
      <w:bookmarkStart w:id="38" w:name="_Toc467155069"/>
      <w:bookmarkStart w:id="39" w:name="_Toc472937896"/>
      <w:r w:rsidRPr="003456D1">
        <w:t xml:space="preserve">Service Level Credits shall constitute the sole remedy for </w:t>
      </w:r>
      <w:r w:rsidR="008A07E6">
        <w:t>WaTech</w:t>
      </w:r>
      <w:r w:rsidRPr="003456D1">
        <w:t xml:space="preserve"> with respect to Contractor’s failure to meet Performance Minimums so long as the Performance Minimums are not Chronic. If the Service falls below this expectation, then damages may also be sought. </w:t>
      </w:r>
    </w:p>
    <w:p w14:paraId="5DF1D249" w14:textId="4E0FEEC7" w:rsidR="00137D16" w:rsidRDefault="008A07E6" w:rsidP="00B3500F">
      <w:pPr>
        <w:pStyle w:val="Heading2"/>
        <w:numPr>
          <w:ilvl w:val="1"/>
          <w:numId w:val="14"/>
        </w:numPr>
        <w:tabs>
          <w:tab w:val="left" w:pos="1620"/>
        </w:tabs>
        <w:ind w:left="1620"/>
      </w:pPr>
      <w:r>
        <w:t>WaTech’s</w:t>
      </w:r>
      <w:r w:rsidR="00137D16" w:rsidRPr="003456D1">
        <w:t xml:space="preserve"> retains the right to terminate this Contract in accordance with its terms, whether pursuant to failure to perform in accordance with the Service Level Agreements or otherwise.</w:t>
      </w:r>
      <w:bookmarkEnd w:id="38"/>
      <w:bookmarkEnd w:id="39"/>
    </w:p>
    <w:p w14:paraId="211D2A64" w14:textId="6923F811" w:rsidR="00D035A6" w:rsidRPr="003456D1" w:rsidRDefault="008A07E6" w:rsidP="00B3500F">
      <w:pPr>
        <w:pStyle w:val="Heading2"/>
        <w:numPr>
          <w:ilvl w:val="1"/>
          <w:numId w:val="14"/>
        </w:numPr>
        <w:tabs>
          <w:tab w:val="left" w:pos="1620"/>
        </w:tabs>
        <w:ind w:left="1620"/>
      </w:pPr>
      <w:r>
        <w:t>WaTech</w:t>
      </w:r>
      <w:r w:rsidR="00D035A6" w:rsidRPr="003456D1">
        <w:t xml:space="preserve"> will monitor service levels through monitoring the tickets opened with the Contractor. The credits must appear on the </w:t>
      </w:r>
      <w:r>
        <w:t>WaTech</w:t>
      </w:r>
      <w:r w:rsidR="00D035A6" w:rsidRPr="003456D1">
        <w:t xml:space="preserve"> billing within two (2) billing cycles from the notification of the finding from </w:t>
      </w:r>
      <w:r>
        <w:t>WaTech</w:t>
      </w:r>
      <w:r w:rsidR="00D035A6" w:rsidRPr="003456D1">
        <w:t xml:space="preserve"> to the Contractor.  In the event </w:t>
      </w:r>
      <w:r>
        <w:t>WaTech</w:t>
      </w:r>
      <w:r w:rsidR="00D035A6" w:rsidRPr="003456D1">
        <w:t xml:space="preserve"> </w:t>
      </w:r>
      <w:r w:rsidR="00D035A6">
        <w:t xml:space="preserve">reports a Service Level breach that the Contractor did not credit within two billing cycles, </w:t>
      </w:r>
      <w:r w:rsidR="00D035A6" w:rsidRPr="003456D1">
        <w:t>the SLA credits shall be three (3) times the calculated and owed amount</w:t>
      </w:r>
      <w:r w:rsidR="00D035A6">
        <w:t>.</w:t>
      </w:r>
      <w:r w:rsidR="00D035A6" w:rsidRPr="003456D1">
        <w:t xml:space="preserve">. </w:t>
      </w:r>
      <w:r>
        <w:t>WaTech</w:t>
      </w:r>
      <w:r w:rsidR="00D035A6" w:rsidRPr="003456D1">
        <w:t xml:space="preserve"> reserves the right to review up to the past twelve months of tickets for this section. </w:t>
      </w:r>
    </w:p>
    <w:p w14:paraId="76EFF912" w14:textId="77777777" w:rsidR="00137D16" w:rsidRPr="00726A72" w:rsidRDefault="00137D16" w:rsidP="00B3500F">
      <w:pPr>
        <w:pStyle w:val="Heading1"/>
        <w:numPr>
          <w:ilvl w:val="0"/>
          <w:numId w:val="14"/>
        </w:numPr>
      </w:pPr>
      <w:bookmarkStart w:id="40" w:name="_Toc472937900"/>
      <w:bookmarkStart w:id="41" w:name="_Toc477777624"/>
      <w:r w:rsidRPr="00726A72">
        <w:t>Service Level Performance Minimums</w:t>
      </w:r>
      <w:bookmarkEnd w:id="40"/>
      <w:bookmarkEnd w:id="41"/>
    </w:p>
    <w:p w14:paraId="6F3310F6" w14:textId="77777777" w:rsidR="00137D16" w:rsidRPr="00D66CB0" w:rsidRDefault="00137D16" w:rsidP="00D66CB0">
      <w:pPr>
        <w:pStyle w:val="Heading2"/>
        <w:tabs>
          <w:tab w:val="left" w:pos="1620"/>
        </w:tabs>
        <w:ind w:left="720"/>
      </w:pPr>
      <w:bookmarkStart w:id="42" w:name="_Toc472937901"/>
      <w:r w:rsidRPr="00D66CB0">
        <w:t>Service shall be provisioned at the following Performance Minimum levels set forth below.  The failure to meet Performance Minimums shall result in a five (5) percent Service Level Credit(s) for the affected Products and Services unless otherwise defined herein.</w:t>
      </w:r>
    </w:p>
    <w:p w14:paraId="151E9D17" w14:textId="77777777" w:rsidR="00137D16" w:rsidRPr="00D66CB0" w:rsidRDefault="00137D16" w:rsidP="00B3500F">
      <w:pPr>
        <w:pStyle w:val="Heading2"/>
        <w:numPr>
          <w:ilvl w:val="1"/>
          <w:numId w:val="14"/>
        </w:numPr>
        <w:tabs>
          <w:tab w:val="left" w:pos="1620"/>
        </w:tabs>
        <w:ind w:left="1620"/>
      </w:pPr>
      <w:r w:rsidRPr="00D66CB0">
        <w:t xml:space="preserve">Performance Minimums </w:t>
      </w:r>
      <w:bookmarkEnd w:id="42"/>
      <w:r w:rsidRPr="00D66CB0">
        <w:t>are defined as:</w:t>
      </w:r>
    </w:p>
    <w:p w14:paraId="527D283D" w14:textId="77777777" w:rsidR="00137D16" w:rsidRPr="00D66CB0" w:rsidRDefault="00137D16" w:rsidP="00D66CB0">
      <w:pPr>
        <w:pStyle w:val="Heading1para"/>
        <w:numPr>
          <w:ilvl w:val="0"/>
          <w:numId w:val="31"/>
        </w:numPr>
        <w:contextualSpacing/>
        <w:rPr>
          <w:szCs w:val="22"/>
        </w:rPr>
      </w:pPr>
      <w:r w:rsidRPr="00D66CB0">
        <w:rPr>
          <w:szCs w:val="22"/>
        </w:rPr>
        <w:t xml:space="preserve">The Service shall have a minimum Performance 99.9% Availability inclusive of </w:t>
      </w:r>
      <w:r w:rsidR="00D66CB0">
        <w:rPr>
          <w:szCs w:val="22"/>
        </w:rPr>
        <w:t>s</w:t>
      </w:r>
      <w:r w:rsidRPr="00D66CB0">
        <w:rPr>
          <w:szCs w:val="22"/>
        </w:rPr>
        <w:t>cheduled maintenance, per one (1) calendar month; and</w:t>
      </w:r>
    </w:p>
    <w:p w14:paraId="267D7E6F" w14:textId="77777777" w:rsidR="00137D16" w:rsidRPr="00D66CB0" w:rsidRDefault="00137D16" w:rsidP="00D66CB0">
      <w:pPr>
        <w:pStyle w:val="Heading1para"/>
        <w:numPr>
          <w:ilvl w:val="0"/>
          <w:numId w:val="31"/>
        </w:numPr>
        <w:contextualSpacing/>
        <w:rPr>
          <w:szCs w:val="22"/>
        </w:rPr>
      </w:pPr>
      <w:r w:rsidRPr="00D66CB0">
        <w:rPr>
          <w:szCs w:val="22"/>
        </w:rPr>
        <w:t>The Service is required to provide a MTTR of 4 hours or less, per one (1) calendar month.</w:t>
      </w:r>
    </w:p>
    <w:p w14:paraId="37682CBC" w14:textId="77777777" w:rsidR="00B55A87" w:rsidRPr="00726A72" w:rsidRDefault="003456D1" w:rsidP="00B3500F">
      <w:pPr>
        <w:pStyle w:val="Heading1"/>
        <w:numPr>
          <w:ilvl w:val="0"/>
          <w:numId w:val="14"/>
        </w:numPr>
      </w:pPr>
      <w:r>
        <w:t>Service Level Credits</w:t>
      </w:r>
    </w:p>
    <w:p w14:paraId="3288FBEB" w14:textId="5CDCE897" w:rsidR="00E2727D" w:rsidRDefault="00E2727D" w:rsidP="00191612">
      <w:pPr>
        <w:pStyle w:val="Heading2"/>
        <w:numPr>
          <w:ilvl w:val="1"/>
          <w:numId w:val="14"/>
        </w:numPr>
        <w:tabs>
          <w:tab w:val="left" w:pos="1620"/>
        </w:tabs>
        <w:ind w:left="1620"/>
        <w:rPr>
          <w:szCs w:val="22"/>
        </w:rPr>
      </w:pPr>
      <w:r w:rsidRPr="00D66CB0">
        <w:t>Contractor’s Service is designed to provide a Service Availability of at least 99.9%, including</w:t>
      </w:r>
      <w:r w:rsidR="00D66CB0">
        <w:t xml:space="preserve"> </w:t>
      </w:r>
      <w:r w:rsidRPr="00D66CB0">
        <w:t>scheduled maintenance.  If the Target Availabilty as defined in the applicable chart below is not</w:t>
      </w:r>
      <w:r w:rsidR="00D66CB0">
        <w:t xml:space="preserve"> </w:t>
      </w:r>
      <w:r w:rsidRPr="00D66CB0">
        <w:t xml:space="preserve">achieved in a calendar month, </w:t>
      </w:r>
      <w:r w:rsidR="008A07E6">
        <w:t>WaTech</w:t>
      </w:r>
      <w:r w:rsidRPr="00D66CB0">
        <w:t xml:space="preserve"> shall be entitled to the Service Level Credits set forth herein. Service Level Availability is calculated on a calendar month, which will be pro-rated </w:t>
      </w:r>
      <w:r w:rsidR="00D66CB0" w:rsidRPr="00191612">
        <w:rPr>
          <w:szCs w:val="22"/>
        </w:rPr>
        <w:t>for the first</w:t>
      </w:r>
      <w:r w:rsidRPr="00191612">
        <w:rPr>
          <w:szCs w:val="22"/>
        </w:rPr>
        <w:t xml:space="preserve"> calendar month of service.</w:t>
      </w:r>
    </w:p>
    <w:p w14:paraId="4C35351F" w14:textId="77777777" w:rsidR="00191612" w:rsidRPr="00191612" w:rsidRDefault="00191612" w:rsidP="00191612">
      <w:pPr>
        <w:pStyle w:val="Heading2"/>
        <w:tabs>
          <w:tab w:val="left" w:pos="1620"/>
        </w:tabs>
        <w:ind w:left="1620"/>
        <w:rPr>
          <w:szCs w:val="22"/>
        </w:rPr>
      </w:pPr>
    </w:p>
    <w:tbl>
      <w:tblPr>
        <w:tblStyle w:val="TableGrid"/>
        <w:tblW w:w="0" w:type="auto"/>
        <w:tblInd w:w="1260" w:type="dxa"/>
        <w:tblLook w:val="04A0" w:firstRow="1" w:lastRow="0" w:firstColumn="1" w:lastColumn="0" w:noHBand="0" w:noVBand="1"/>
      </w:tblPr>
      <w:tblGrid>
        <w:gridCol w:w="2798"/>
        <w:gridCol w:w="2350"/>
        <w:gridCol w:w="2700"/>
      </w:tblGrid>
      <w:tr w:rsidR="00191612" w:rsidRPr="00095B83" w14:paraId="1D43F688" w14:textId="77777777" w:rsidTr="00FC6CAA">
        <w:tc>
          <w:tcPr>
            <w:tcW w:w="2798" w:type="dxa"/>
          </w:tcPr>
          <w:p w14:paraId="3043BC6E" w14:textId="77777777" w:rsidR="00191612" w:rsidRPr="00095B83" w:rsidRDefault="00191612" w:rsidP="00FC6CAA">
            <w:pPr>
              <w:pStyle w:val="Heading1para"/>
              <w:ind w:left="0"/>
              <w:rPr>
                <w:b/>
                <w:szCs w:val="22"/>
              </w:rPr>
            </w:pPr>
            <w:r w:rsidRPr="00095B83">
              <w:rPr>
                <w:b/>
                <w:szCs w:val="22"/>
              </w:rPr>
              <w:t>Target Availability</w:t>
            </w:r>
          </w:p>
          <w:p w14:paraId="31A09D75" w14:textId="77777777" w:rsidR="00191612" w:rsidRPr="00095B83" w:rsidRDefault="00191612" w:rsidP="00FC6CAA">
            <w:pPr>
              <w:pStyle w:val="Heading1para"/>
              <w:ind w:left="0"/>
              <w:rPr>
                <w:szCs w:val="22"/>
              </w:rPr>
            </w:pPr>
          </w:p>
        </w:tc>
        <w:tc>
          <w:tcPr>
            <w:tcW w:w="2350" w:type="dxa"/>
          </w:tcPr>
          <w:p w14:paraId="79C54EA4" w14:textId="77777777" w:rsidR="00191612" w:rsidRPr="00095B83" w:rsidRDefault="00191612" w:rsidP="00FC6CAA">
            <w:pPr>
              <w:pStyle w:val="Heading1para"/>
              <w:ind w:left="0"/>
              <w:rPr>
                <w:b/>
                <w:szCs w:val="22"/>
              </w:rPr>
            </w:pPr>
            <w:r w:rsidRPr="00095B83">
              <w:rPr>
                <w:b/>
                <w:szCs w:val="22"/>
              </w:rPr>
              <w:t>Actual Outage</w:t>
            </w:r>
          </w:p>
          <w:p w14:paraId="2166F22D" w14:textId="77777777" w:rsidR="00191612" w:rsidRPr="00095B83" w:rsidRDefault="00191612" w:rsidP="00FC6CAA">
            <w:pPr>
              <w:pStyle w:val="Heading1para"/>
              <w:ind w:left="0"/>
              <w:rPr>
                <w:szCs w:val="22"/>
              </w:rPr>
            </w:pPr>
            <w:r w:rsidRPr="00095B83">
              <w:rPr>
                <w:szCs w:val="22"/>
              </w:rPr>
              <w:t>(Monthly)</w:t>
            </w:r>
          </w:p>
        </w:tc>
        <w:tc>
          <w:tcPr>
            <w:tcW w:w="2700" w:type="dxa"/>
          </w:tcPr>
          <w:p w14:paraId="056560EC" w14:textId="77777777" w:rsidR="00191612" w:rsidRPr="00095B83" w:rsidRDefault="00191612" w:rsidP="00FC6CAA">
            <w:pPr>
              <w:pStyle w:val="Heading1para"/>
              <w:ind w:left="0"/>
              <w:rPr>
                <w:b/>
                <w:szCs w:val="22"/>
              </w:rPr>
            </w:pPr>
            <w:r w:rsidRPr="00095B83">
              <w:rPr>
                <w:b/>
                <w:szCs w:val="22"/>
              </w:rPr>
              <w:t>Service Level Credit as % of MRC for the applicable Service</w:t>
            </w:r>
          </w:p>
        </w:tc>
      </w:tr>
      <w:tr w:rsidR="00191612" w:rsidRPr="00095B83" w14:paraId="4A4BAD61" w14:textId="77777777" w:rsidTr="00FC6CAA">
        <w:tc>
          <w:tcPr>
            <w:tcW w:w="2798" w:type="dxa"/>
            <w:vMerge w:val="restart"/>
          </w:tcPr>
          <w:p w14:paraId="53558D1B" w14:textId="77777777" w:rsidR="00191612" w:rsidRPr="00095B83" w:rsidRDefault="00191612" w:rsidP="00FC6CAA">
            <w:pPr>
              <w:pStyle w:val="Heading1para"/>
              <w:ind w:left="0"/>
              <w:rPr>
                <w:b/>
                <w:sz w:val="18"/>
                <w:szCs w:val="22"/>
              </w:rPr>
            </w:pPr>
          </w:p>
          <w:p w14:paraId="14132C83" w14:textId="77777777" w:rsidR="00191612" w:rsidRPr="00095B83" w:rsidRDefault="00191612" w:rsidP="00FC6CAA">
            <w:pPr>
              <w:pStyle w:val="Heading1para"/>
              <w:ind w:left="0"/>
              <w:rPr>
                <w:b/>
                <w:sz w:val="18"/>
                <w:szCs w:val="22"/>
              </w:rPr>
            </w:pPr>
          </w:p>
          <w:p w14:paraId="3E9F600D" w14:textId="77777777" w:rsidR="00191612" w:rsidRPr="00095B83" w:rsidRDefault="00191612" w:rsidP="00FC6CAA">
            <w:pPr>
              <w:pStyle w:val="Heading1para"/>
              <w:ind w:left="0"/>
              <w:rPr>
                <w:b/>
                <w:szCs w:val="22"/>
              </w:rPr>
            </w:pPr>
          </w:p>
          <w:p w14:paraId="0334B0FD" w14:textId="77777777" w:rsidR="00191612" w:rsidRPr="00095B83" w:rsidRDefault="00191612" w:rsidP="00FC6CAA">
            <w:pPr>
              <w:pStyle w:val="Heading1para"/>
              <w:ind w:left="0"/>
              <w:rPr>
                <w:b/>
                <w:szCs w:val="22"/>
              </w:rPr>
            </w:pPr>
            <w:r w:rsidRPr="00095B83">
              <w:rPr>
                <w:b/>
                <w:szCs w:val="22"/>
              </w:rPr>
              <w:t>99.9% Availability</w:t>
            </w:r>
          </w:p>
        </w:tc>
        <w:tc>
          <w:tcPr>
            <w:tcW w:w="2350" w:type="dxa"/>
          </w:tcPr>
          <w:p w14:paraId="17767A5B" w14:textId="77777777" w:rsidR="00191612" w:rsidRPr="00095B83" w:rsidRDefault="00191612" w:rsidP="00FC6CAA">
            <w:pPr>
              <w:pStyle w:val="Heading1para"/>
              <w:ind w:left="0"/>
              <w:rPr>
                <w:szCs w:val="22"/>
              </w:rPr>
            </w:pPr>
            <w:r w:rsidRPr="00095B83">
              <w:rPr>
                <w:szCs w:val="22"/>
              </w:rPr>
              <w:t>Less than 43 minutes</w:t>
            </w:r>
          </w:p>
        </w:tc>
        <w:tc>
          <w:tcPr>
            <w:tcW w:w="2700" w:type="dxa"/>
          </w:tcPr>
          <w:p w14:paraId="3740C17D" w14:textId="77777777" w:rsidR="00191612" w:rsidRPr="00095B83" w:rsidRDefault="00191612" w:rsidP="00FC6CAA">
            <w:pPr>
              <w:pStyle w:val="Heading1para"/>
              <w:ind w:left="0"/>
              <w:rPr>
                <w:szCs w:val="22"/>
              </w:rPr>
            </w:pPr>
            <w:r w:rsidRPr="00095B83">
              <w:rPr>
                <w:szCs w:val="22"/>
              </w:rPr>
              <w:t>Target Met</w:t>
            </w:r>
          </w:p>
        </w:tc>
      </w:tr>
      <w:tr w:rsidR="00191612" w:rsidRPr="00095B83" w14:paraId="7601E5F6" w14:textId="77777777" w:rsidTr="00FC6CAA">
        <w:tc>
          <w:tcPr>
            <w:tcW w:w="2798" w:type="dxa"/>
            <w:vMerge/>
          </w:tcPr>
          <w:p w14:paraId="54473B54" w14:textId="77777777" w:rsidR="00191612" w:rsidRPr="00095B83" w:rsidRDefault="00191612" w:rsidP="00FC6CAA">
            <w:pPr>
              <w:pStyle w:val="Heading1para"/>
              <w:ind w:left="0"/>
              <w:rPr>
                <w:szCs w:val="22"/>
              </w:rPr>
            </w:pPr>
          </w:p>
        </w:tc>
        <w:tc>
          <w:tcPr>
            <w:tcW w:w="2350" w:type="dxa"/>
          </w:tcPr>
          <w:p w14:paraId="4BBBDE3B" w14:textId="77777777" w:rsidR="00191612" w:rsidRPr="00095B83" w:rsidRDefault="00191612" w:rsidP="00FC6CAA">
            <w:pPr>
              <w:pStyle w:val="Heading1para"/>
              <w:ind w:left="0"/>
              <w:rPr>
                <w:szCs w:val="22"/>
              </w:rPr>
            </w:pPr>
            <w:r w:rsidRPr="00095B83">
              <w:rPr>
                <w:szCs w:val="22"/>
              </w:rPr>
              <w:t>&gt;43 minutes to 1 hour</w:t>
            </w:r>
          </w:p>
        </w:tc>
        <w:tc>
          <w:tcPr>
            <w:tcW w:w="2700" w:type="dxa"/>
          </w:tcPr>
          <w:p w14:paraId="014959AD" w14:textId="77777777" w:rsidR="00191612" w:rsidRPr="00095B83" w:rsidRDefault="00191612" w:rsidP="00FC6CAA">
            <w:pPr>
              <w:pStyle w:val="Heading1para"/>
              <w:ind w:left="0"/>
              <w:rPr>
                <w:szCs w:val="22"/>
              </w:rPr>
            </w:pPr>
            <w:r w:rsidRPr="00095B83">
              <w:rPr>
                <w:szCs w:val="22"/>
              </w:rPr>
              <w:t>5%</w:t>
            </w:r>
          </w:p>
        </w:tc>
      </w:tr>
      <w:tr w:rsidR="00191612" w:rsidRPr="00095B83" w14:paraId="5357A2DE" w14:textId="77777777" w:rsidTr="00FC6CAA">
        <w:tc>
          <w:tcPr>
            <w:tcW w:w="2798" w:type="dxa"/>
            <w:vMerge/>
          </w:tcPr>
          <w:p w14:paraId="41DFFD56" w14:textId="77777777" w:rsidR="00191612" w:rsidRPr="00095B83" w:rsidRDefault="00191612" w:rsidP="00FC6CAA">
            <w:pPr>
              <w:pStyle w:val="Heading1para"/>
              <w:ind w:left="0"/>
              <w:rPr>
                <w:szCs w:val="22"/>
              </w:rPr>
            </w:pPr>
          </w:p>
        </w:tc>
        <w:tc>
          <w:tcPr>
            <w:tcW w:w="2350" w:type="dxa"/>
          </w:tcPr>
          <w:p w14:paraId="4906B212" w14:textId="77777777" w:rsidR="00191612" w:rsidRPr="00095B83" w:rsidRDefault="00191612" w:rsidP="00FC6CAA">
            <w:pPr>
              <w:pStyle w:val="Heading1para"/>
              <w:ind w:left="0"/>
              <w:rPr>
                <w:szCs w:val="22"/>
              </w:rPr>
            </w:pPr>
            <w:r w:rsidRPr="00095B83">
              <w:rPr>
                <w:szCs w:val="22"/>
              </w:rPr>
              <w:t>&gt;1 hour to 3 hours</w:t>
            </w:r>
          </w:p>
        </w:tc>
        <w:tc>
          <w:tcPr>
            <w:tcW w:w="2700" w:type="dxa"/>
          </w:tcPr>
          <w:p w14:paraId="20EA309C" w14:textId="77777777" w:rsidR="00191612" w:rsidRPr="00095B83" w:rsidRDefault="00191612" w:rsidP="00FC6CAA">
            <w:pPr>
              <w:pStyle w:val="Heading1para"/>
              <w:ind w:left="0"/>
              <w:rPr>
                <w:szCs w:val="22"/>
              </w:rPr>
            </w:pPr>
            <w:r w:rsidRPr="00095B83">
              <w:rPr>
                <w:szCs w:val="22"/>
              </w:rPr>
              <w:t>10%</w:t>
            </w:r>
          </w:p>
        </w:tc>
      </w:tr>
      <w:tr w:rsidR="00191612" w:rsidRPr="00095B83" w14:paraId="264B6903" w14:textId="77777777" w:rsidTr="00FC6CAA">
        <w:tc>
          <w:tcPr>
            <w:tcW w:w="2798" w:type="dxa"/>
            <w:vMerge/>
          </w:tcPr>
          <w:p w14:paraId="64100273" w14:textId="77777777" w:rsidR="00191612" w:rsidRPr="00095B83" w:rsidRDefault="00191612" w:rsidP="00FC6CAA">
            <w:pPr>
              <w:pStyle w:val="Heading1para"/>
              <w:ind w:left="0"/>
              <w:rPr>
                <w:szCs w:val="22"/>
              </w:rPr>
            </w:pPr>
          </w:p>
        </w:tc>
        <w:tc>
          <w:tcPr>
            <w:tcW w:w="2350" w:type="dxa"/>
          </w:tcPr>
          <w:p w14:paraId="553AF3E1" w14:textId="77777777" w:rsidR="00191612" w:rsidRPr="00095B83" w:rsidRDefault="00191612" w:rsidP="00FC6CAA">
            <w:pPr>
              <w:pStyle w:val="Heading1para"/>
              <w:ind w:left="0"/>
              <w:rPr>
                <w:szCs w:val="22"/>
              </w:rPr>
            </w:pPr>
            <w:r w:rsidRPr="00095B83">
              <w:rPr>
                <w:szCs w:val="22"/>
              </w:rPr>
              <w:t>&gt;3 hours to 5 hours</w:t>
            </w:r>
          </w:p>
        </w:tc>
        <w:tc>
          <w:tcPr>
            <w:tcW w:w="2700" w:type="dxa"/>
          </w:tcPr>
          <w:p w14:paraId="51AAF37A" w14:textId="77777777" w:rsidR="00191612" w:rsidRPr="00095B83" w:rsidRDefault="00191612" w:rsidP="00FC6CAA">
            <w:pPr>
              <w:pStyle w:val="Heading1para"/>
              <w:ind w:left="0"/>
              <w:rPr>
                <w:szCs w:val="22"/>
              </w:rPr>
            </w:pPr>
            <w:r w:rsidRPr="00095B83">
              <w:rPr>
                <w:szCs w:val="22"/>
              </w:rPr>
              <w:t>15%</w:t>
            </w:r>
          </w:p>
        </w:tc>
      </w:tr>
      <w:tr w:rsidR="00191612" w:rsidRPr="00095B83" w14:paraId="3F92F995" w14:textId="77777777" w:rsidTr="00FC6CAA">
        <w:tc>
          <w:tcPr>
            <w:tcW w:w="2798" w:type="dxa"/>
            <w:vMerge/>
          </w:tcPr>
          <w:p w14:paraId="36085BD3" w14:textId="77777777" w:rsidR="00191612" w:rsidRPr="00095B83" w:rsidRDefault="00191612" w:rsidP="00FC6CAA">
            <w:pPr>
              <w:pStyle w:val="Heading1para"/>
              <w:ind w:left="0"/>
              <w:rPr>
                <w:szCs w:val="22"/>
              </w:rPr>
            </w:pPr>
          </w:p>
        </w:tc>
        <w:tc>
          <w:tcPr>
            <w:tcW w:w="2350" w:type="dxa"/>
          </w:tcPr>
          <w:p w14:paraId="79B78F48" w14:textId="77777777" w:rsidR="00191612" w:rsidRPr="00095B83" w:rsidRDefault="00191612" w:rsidP="00FC6CAA">
            <w:pPr>
              <w:pStyle w:val="Heading1para"/>
              <w:ind w:left="0"/>
              <w:rPr>
                <w:szCs w:val="22"/>
              </w:rPr>
            </w:pPr>
            <w:r w:rsidRPr="00095B83">
              <w:rPr>
                <w:szCs w:val="22"/>
              </w:rPr>
              <w:t>&gt;5 hours</w:t>
            </w:r>
          </w:p>
        </w:tc>
        <w:tc>
          <w:tcPr>
            <w:tcW w:w="2700" w:type="dxa"/>
          </w:tcPr>
          <w:p w14:paraId="1200B100" w14:textId="77777777" w:rsidR="00191612" w:rsidRPr="00095B83" w:rsidRDefault="00191612" w:rsidP="00FC6CAA">
            <w:pPr>
              <w:pStyle w:val="Heading1para"/>
              <w:ind w:left="0"/>
              <w:rPr>
                <w:szCs w:val="22"/>
              </w:rPr>
            </w:pPr>
            <w:r w:rsidRPr="00095B83">
              <w:rPr>
                <w:szCs w:val="22"/>
              </w:rPr>
              <w:t>An additional 5% for each additional hour of Outage</w:t>
            </w:r>
          </w:p>
        </w:tc>
      </w:tr>
    </w:tbl>
    <w:p w14:paraId="047DA5E5" w14:textId="77777777" w:rsidR="00E2727D" w:rsidRPr="00D66CB0" w:rsidRDefault="00E2727D" w:rsidP="00B3500F">
      <w:pPr>
        <w:pStyle w:val="Heading2"/>
        <w:numPr>
          <w:ilvl w:val="1"/>
          <w:numId w:val="14"/>
        </w:numPr>
        <w:tabs>
          <w:tab w:val="left" w:pos="1620"/>
        </w:tabs>
        <w:ind w:left="1620"/>
      </w:pPr>
      <w:r w:rsidRPr="00D66CB0">
        <w:t xml:space="preserve">A </w:t>
      </w:r>
      <w:r w:rsidR="004E4DDF">
        <w:t>Service</w:t>
      </w:r>
      <w:r w:rsidRPr="00D66CB0">
        <w:t xml:space="preserve"> is interrupted when it becomes unusable to the customer bec</w:t>
      </w:r>
      <w:r w:rsidR="00D66CB0">
        <w:t xml:space="preserve">ause of a failure of a facility </w:t>
      </w:r>
      <w:r w:rsidRPr="00D66CB0">
        <w:t xml:space="preserve">component used to furnish the service by the Contractor results in </w:t>
      </w:r>
      <w:r w:rsidR="00D66CB0">
        <w:t xml:space="preserve">the complete loss of service by </w:t>
      </w:r>
      <w:r w:rsidRPr="00D66CB0">
        <w:t>t</w:t>
      </w:r>
      <w:r w:rsidR="00D66CB0">
        <w:t>he customer.</w:t>
      </w:r>
    </w:p>
    <w:p w14:paraId="6351F0B8" w14:textId="77777777" w:rsidR="00E2727D" w:rsidRPr="00D66CB0" w:rsidRDefault="00E2727D" w:rsidP="00B3500F">
      <w:pPr>
        <w:pStyle w:val="Heading2"/>
        <w:numPr>
          <w:ilvl w:val="1"/>
          <w:numId w:val="14"/>
        </w:numPr>
        <w:tabs>
          <w:tab w:val="left" w:pos="1620"/>
        </w:tabs>
        <w:ind w:left="1620"/>
      </w:pPr>
      <w:r w:rsidRPr="00D66CB0">
        <w:t xml:space="preserve">Except as otherwise provided, an interruption period starts when an </w:t>
      </w:r>
      <w:r w:rsidR="00D66CB0">
        <w:t xml:space="preserve">inoperative </w:t>
      </w:r>
      <w:r w:rsidR="004E4DDF">
        <w:t>Service</w:t>
      </w:r>
      <w:r w:rsidR="00D66CB0">
        <w:t xml:space="preserve"> is reported </w:t>
      </w:r>
      <w:r w:rsidRPr="00D66CB0">
        <w:t>to the Contractor, and ends when the service is operative.</w:t>
      </w:r>
    </w:p>
    <w:p w14:paraId="598CBB54" w14:textId="77777777" w:rsidR="00E2727D" w:rsidRPr="00212435" w:rsidRDefault="00E2727D" w:rsidP="00624326">
      <w:pPr>
        <w:pStyle w:val="Heading1"/>
        <w:numPr>
          <w:ilvl w:val="0"/>
          <w:numId w:val="11"/>
        </w:numPr>
        <w:rPr>
          <w:bCs/>
          <w:szCs w:val="24"/>
        </w:rPr>
      </w:pPr>
      <w:bookmarkStart w:id="43" w:name="_Toc59620233"/>
      <w:bookmarkStart w:id="44" w:name="_Toc355264939"/>
      <w:bookmarkStart w:id="45" w:name="_Toc477777626"/>
      <w:r w:rsidRPr="00212435">
        <w:rPr>
          <w:szCs w:val="24"/>
        </w:rPr>
        <w:t>Proprietary or Confidential Information</w:t>
      </w:r>
      <w:bookmarkEnd w:id="43"/>
      <w:bookmarkEnd w:id="44"/>
      <w:bookmarkEnd w:id="45"/>
    </w:p>
    <w:p w14:paraId="06FB625B" w14:textId="14A0CE89" w:rsidR="00E2727D" w:rsidRPr="00D66CB0" w:rsidRDefault="00E2727D" w:rsidP="00D66CB0">
      <w:pPr>
        <w:pStyle w:val="Heading2"/>
        <w:tabs>
          <w:tab w:val="left" w:pos="1620"/>
        </w:tabs>
        <w:ind w:left="720"/>
      </w:pPr>
      <w:r w:rsidRPr="00D66CB0">
        <w:t xml:space="preserve">Any information contained in the Contractor’s Response to a </w:t>
      </w:r>
      <w:r w:rsidR="008A07E6">
        <w:t>WaTech</w:t>
      </w:r>
      <w:r w:rsidRPr="00D66CB0">
        <w:t xml:space="preserve"> Procurement Document that is proprietary or confidential must be clearly designated. Marking of the entire Response or entire sections of the Response as proprietary or confidential will not be accepted nor honored. </w:t>
      </w:r>
      <w:r w:rsidR="008A07E6">
        <w:t>WaTech</w:t>
      </w:r>
      <w:r w:rsidRPr="00D66CB0">
        <w:t xml:space="preserve"> will not accept Responses where pricing is marked proprietary or confidential, and the Response will be rejected.</w:t>
      </w:r>
    </w:p>
    <w:p w14:paraId="74F8F28E" w14:textId="31372D46" w:rsidR="00E2727D" w:rsidRPr="00D66CB0" w:rsidRDefault="00E2727D" w:rsidP="00D66CB0">
      <w:pPr>
        <w:pStyle w:val="Heading2"/>
        <w:tabs>
          <w:tab w:val="left" w:pos="1620"/>
        </w:tabs>
        <w:ind w:left="720"/>
      </w:pPr>
      <w:r w:rsidRPr="00D66CB0">
        <w:t xml:space="preserve">To the extent consistent with chapter 42.56 RCW, the Public Disclosure Act, </w:t>
      </w:r>
      <w:r w:rsidR="008A07E6">
        <w:t>WaTech</w:t>
      </w:r>
      <w:r w:rsidRPr="00D66CB0">
        <w:t xml:space="preserve"> shall maintain the confidentiality of the Contractor’s information marked confidential or proprietary. If a request is made to view Vendor’s proprietary information, </w:t>
      </w:r>
      <w:r w:rsidR="008A07E6">
        <w:t>WaTech</w:t>
      </w:r>
      <w:r w:rsidRPr="00D66CB0">
        <w:t xml:space="preserve"> will notify the Contractor of the request and of the date that the records will be released to the requester unless the Contractor obtains a court order enjoining that disclosure. If the Contractor fails to obtain the court order enjoining disclosure, </w:t>
      </w:r>
      <w:r w:rsidR="008A07E6">
        <w:t>WaTech</w:t>
      </w:r>
      <w:r w:rsidRPr="00D66CB0">
        <w:t xml:space="preserve"> will release the requested information on the date specified.</w:t>
      </w:r>
    </w:p>
    <w:p w14:paraId="729276BA" w14:textId="4CAEA52B" w:rsidR="00A75F99" w:rsidRPr="00D66CB0" w:rsidRDefault="00E2727D" w:rsidP="00A75F99">
      <w:pPr>
        <w:pStyle w:val="Heading2"/>
        <w:tabs>
          <w:tab w:val="left" w:pos="1620"/>
        </w:tabs>
        <w:ind w:left="720"/>
      </w:pPr>
      <w:r w:rsidRPr="00D66CB0">
        <w:t xml:space="preserve">The State’s sole responsibility shall be limited to maintaining the above data in a secure area and to notify the Contractor of any request(s) for disclosure for so long as </w:t>
      </w:r>
      <w:r w:rsidR="008A07E6">
        <w:t>WaTech</w:t>
      </w:r>
      <w:r w:rsidRPr="00D66CB0">
        <w:t xml:space="preserve"> retains the Contractor’s information in </w:t>
      </w:r>
      <w:r w:rsidR="008A07E6">
        <w:t>WaTech</w:t>
      </w:r>
      <w:r w:rsidRPr="00D66CB0">
        <w:t xml:space="preserve"> records. Failure to so label such materials or failure to timely respond after notice of request for public disclosure has been given shall be deemed a waiver by the Contractor of any claim that such materials are exempt from disclosure.</w:t>
      </w:r>
    </w:p>
    <w:p w14:paraId="20EF4BA0" w14:textId="710FA477" w:rsidR="00B2296E" w:rsidRDefault="00B2296E" w:rsidP="00B2296E">
      <w:pPr>
        <w:pStyle w:val="Heading2"/>
        <w:numPr>
          <w:ilvl w:val="0"/>
          <w:numId w:val="37"/>
        </w:numPr>
        <w:tabs>
          <w:tab w:val="left" w:pos="1620"/>
        </w:tabs>
        <w:ind w:left="720" w:hanging="720"/>
      </w:pPr>
      <w:r w:rsidRPr="00651516">
        <w:t xml:space="preserve">Except for </w:t>
      </w:r>
      <w:r w:rsidR="008A07E6">
        <w:t>WaTech’s</w:t>
      </w:r>
      <w:r w:rsidRPr="00651516">
        <w:t xml:space="preserve"> payment obligations, each party’s total aggregate liability arising from or related to this </w:t>
      </w:r>
      <w:r>
        <w:t>Addendum</w:t>
      </w:r>
      <w:r w:rsidRPr="00651516">
        <w:t xml:space="preserve"> will be limited to the total charges paid or payable in the </w:t>
      </w:r>
      <w:r>
        <w:t>year</w:t>
      </w:r>
      <w:r w:rsidRPr="00651516">
        <w:t xml:space="preserve"> immediately preceding the incident giving rise to the claim</w:t>
      </w:r>
    </w:p>
    <w:p w14:paraId="64AA9E83" w14:textId="095B4BF9" w:rsidR="00E2727D" w:rsidRDefault="00E2727D" w:rsidP="00D66CB0">
      <w:pPr>
        <w:pStyle w:val="Heading2"/>
        <w:tabs>
          <w:tab w:val="left" w:pos="1620"/>
        </w:tabs>
        <w:ind w:left="720"/>
      </w:pPr>
      <w:r w:rsidRPr="00D66CB0">
        <w:t xml:space="preserve">The Effective Date of this Technical Addendum shall be the date of last signature below. </w:t>
      </w:r>
    </w:p>
    <w:tbl>
      <w:tblPr>
        <w:tblW w:w="9558" w:type="dxa"/>
        <w:tblLayout w:type="fixed"/>
        <w:tblLook w:val="0000" w:firstRow="0" w:lastRow="0" w:firstColumn="0" w:lastColumn="0" w:noHBand="0" w:noVBand="0"/>
      </w:tblPr>
      <w:tblGrid>
        <w:gridCol w:w="4518"/>
        <w:gridCol w:w="450"/>
        <w:gridCol w:w="4590"/>
      </w:tblGrid>
      <w:tr w:rsidR="00E2727D" w:rsidRPr="00D66CB0" w14:paraId="1FE8831B" w14:textId="77777777" w:rsidTr="00542159">
        <w:tc>
          <w:tcPr>
            <w:tcW w:w="4518" w:type="dxa"/>
          </w:tcPr>
          <w:p w14:paraId="2D23AF7A" w14:textId="77777777" w:rsidR="00E2727D" w:rsidRPr="00D66CB0" w:rsidRDefault="00E2727D" w:rsidP="00542159">
            <w:pPr>
              <w:spacing w:after="120"/>
              <w:rPr>
                <w:szCs w:val="24"/>
              </w:rPr>
            </w:pPr>
            <w:r w:rsidRPr="00D66CB0">
              <w:rPr>
                <w:b/>
                <w:szCs w:val="24"/>
              </w:rPr>
              <w:t>Approved</w:t>
            </w:r>
          </w:p>
        </w:tc>
        <w:tc>
          <w:tcPr>
            <w:tcW w:w="450" w:type="dxa"/>
          </w:tcPr>
          <w:p w14:paraId="4D0F9F48" w14:textId="77777777" w:rsidR="00E2727D" w:rsidRPr="00D66CB0" w:rsidRDefault="00E2727D" w:rsidP="00542159">
            <w:pPr>
              <w:spacing w:after="120"/>
              <w:rPr>
                <w:szCs w:val="24"/>
              </w:rPr>
            </w:pPr>
          </w:p>
        </w:tc>
        <w:tc>
          <w:tcPr>
            <w:tcW w:w="4590" w:type="dxa"/>
          </w:tcPr>
          <w:p w14:paraId="6B5E68D4" w14:textId="77777777" w:rsidR="00E2727D" w:rsidRPr="00D66CB0" w:rsidRDefault="00E2727D" w:rsidP="00542159">
            <w:pPr>
              <w:spacing w:after="120"/>
              <w:rPr>
                <w:szCs w:val="24"/>
              </w:rPr>
            </w:pPr>
            <w:r w:rsidRPr="00D66CB0">
              <w:rPr>
                <w:b/>
                <w:szCs w:val="24"/>
              </w:rPr>
              <w:t>Approved</w:t>
            </w:r>
          </w:p>
        </w:tc>
      </w:tr>
      <w:tr w:rsidR="00E2727D" w:rsidRPr="00D66CB0" w14:paraId="357E897B" w14:textId="77777777" w:rsidTr="00542159">
        <w:tc>
          <w:tcPr>
            <w:tcW w:w="4518" w:type="dxa"/>
          </w:tcPr>
          <w:p w14:paraId="35FA607A" w14:textId="77777777" w:rsidR="00E2727D" w:rsidRPr="00D66CB0" w:rsidRDefault="00E2727D" w:rsidP="00542159">
            <w:pPr>
              <w:rPr>
                <w:szCs w:val="24"/>
              </w:rPr>
            </w:pPr>
            <w:r w:rsidRPr="00D66CB0">
              <w:rPr>
                <w:szCs w:val="24"/>
              </w:rPr>
              <w:t>State of Washington</w:t>
            </w:r>
          </w:p>
          <w:p w14:paraId="6153EE9A" w14:textId="6FF78A91" w:rsidR="00E2727D" w:rsidRPr="00D66CB0" w:rsidRDefault="00E630D0" w:rsidP="00542159">
            <w:pPr>
              <w:rPr>
                <w:szCs w:val="24"/>
              </w:rPr>
            </w:pPr>
            <w:r>
              <w:rPr>
                <w:szCs w:val="24"/>
              </w:rPr>
              <w:t>Washington Technology Solutions</w:t>
            </w:r>
          </w:p>
        </w:tc>
        <w:tc>
          <w:tcPr>
            <w:tcW w:w="450" w:type="dxa"/>
          </w:tcPr>
          <w:p w14:paraId="6BF57251" w14:textId="77777777" w:rsidR="00E2727D" w:rsidRPr="00D66CB0" w:rsidRDefault="00E2727D" w:rsidP="00542159">
            <w:pPr>
              <w:rPr>
                <w:szCs w:val="24"/>
              </w:rPr>
            </w:pPr>
          </w:p>
        </w:tc>
        <w:tc>
          <w:tcPr>
            <w:tcW w:w="4590" w:type="dxa"/>
          </w:tcPr>
          <w:p w14:paraId="422F8E9A" w14:textId="261E1030" w:rsidR="00E2727D" w:rsidRPr="00D66CB0" w:rsidRDefault="002F79DA" w:rsidP="00C81868">
            <w:pPr>
              <w:pStyle w:val="Header"/>
              <w:tabs>
                <w:tab w:val="clear" w:pos="4320"/>
                <w:tab w:val="clear" w:pos="8640"/>
              </w:tabs>
              <w:rPr>
                <w:iCs/>
                <w:szCs w:val="24"/>
              </w:rPr>
            </w:pPr>
            <w:r>
              <w:rPr>
                <w:iCs/>
                <w:szCs w:val="22"/>
              </w:rPr>
              <w:t>Vendor</w:t>
            </w:r>
          </w:p>
        </w:tc>
      </w:tr>
      <w:tr w:rsidR="00E2727D" w:rsidRPr="00D66CB0" w14:paraId="6103B4D6" w14:textId="77777777" w:rsidTr="00542159">
        <w:trPr>
          <w:trHeight w:val="960"/>
        </w:trPr>
        <w:tc>
          <w:tcPr>
            <w:tcW w:w="4518" w:type="dxa"/>
          </w:tcPr>
          <w:p w14:paraId="526CFDDD" w14:textId="77777777" w:rsidR="00E2727D" w:rsidRPr="00D66CB0" w:rsidRDefault="00E2727D" w:rsidP="00542159">
            <w:pPr>
              <w:rPr>
                <w:szCs w:val="24"/>
              </w:rPr>
            </w:pPr>
          </w:p>
        </w:tc>
        <w:tc>
          <w:tcPr>
            <w:tcW w:w="450" w:type="dxa"/>
          </w:tcPr>
          <w:p w14:paraId="3A53DA62" w14:textId="77777777" w:rsidR="00E2727D" w:rsidRPr="00D66CB0" w:rsidRDefault="00E2727D" w:rsidP="00542159">
            <w:pPr>
              <w:rPr>
                <w:szCs w:val="24"/>
              </w:rPr>
            </w:pPr>
          </w:p>
        </w:tc>
        <w:tc>
          <w:tcPr>
            <w:tcW w:w="4590" w:type="dxa"/>
          </w:tcPr>
          <w:p w14:paraId="3DEDA5F0" w14:textId="77777777" w:rsidR="00E2727D" w:rsidRPr="00D66CB0" w:rsidRDefault="00E2727D" w:rsidP="00542159">
            <w:pPr>
              <w:pStyle w:val="Header"/>
              <w:tabs>
                <w:tab w:val="clear" w:pos="4320"/>
                <w:tab w:val="clear" w:pos="8640"/>
              </w:tabs>
              <w:rPr>
                <w:szCs w:val="24"/>
              </w:rPr>
            </w:pPr>
          </w:p>
        </w:tc>
      </w:tr>
      <w:tr w:rsidR="00E2727D" w:rsidRPr="00D66CB0" w14:paraId="35427678" w14:textId="77777777" w:rsidTr="00542159">
        <w:tc>
          <w:tcPr>
            <w:tcW w:w="4518" w:type="dxa"/>
            <w:tcBorders>
              <w:top w:val="single" w:sz="12" w:space="0" w:color="auto"/>
            </w:tcBorders>
          </w:tcPr>
          <w:p w14:paraId="663D6EF9" w14:textId="77777777" w:rsidR="00E2727D" w:rsidRPr="00D66CB0" w:rsidRDefault="00E2727D" w:rsidP="00542159">
            <w:pPr>
              <w:rPr>
                <w:i/>
                <w:iCs/>
                <w:szCs w:val="24"/>
                <w:vertAlign w:val="superscript"/>
              </w:rPr>
            </w:pPr>
            <w:r w:rsidRPr="00D66CB0">
              <w:rPr>
                <w:i/>
                <w:iCs/>
                <w:szCs w:val="24"/>
                <w:vertAlign w:val="superscript"/>
              </w:rPr>
              <w:t>Signature</w:t>
            </w:r>
          </w:p>
        </w:tc>
        <w:tc>
          <w:tcPr>
            <w:tcW w:w="450" w:type="dxa"/>
          </w:tcPr>
          <w:p w14:paraId="5DD7429D" w14:textId="77777777" w:rsidR="00E2727D" w:rsidRPr="00D66CB0" w:rsidRDefault="00E2727D" w:rsidP="00542159">
            <w:pPr>
              <w:rPr>
                <w:i/>
                <w:iCs/>
                <w:szCs w:val="24"/>
                <w:vertAlign w:val="superscript"/>
              </w:rPr>
            </w:pPr>
          </w:p>
        </w:tc>
        <w:tc>
          <w:tcPr>
            <w:tcW w:w="4590" w:type="dxa"/>
            <w:tcBorders>
              <w:top w:val="single" w:sz="12" w:space="0" w:color="auto"/>
            </w:tcBorders>
          </w:tcPr>
          <w:p w14:paraId="26235A0D" w14:textId="77777777" w:rsidR="00E2727D" w:rsidRPr="00D66CB0" w:rsidRDefault="00E2727D" w:rsidP="00542159">
            <w:pPr>
              <w:rPr>
                <w:i/>
                <w:iCs/>
                <w:szCs w:val="24"/>
                <w:vertAlign w:val="superscript"/>
              </w:rPr>
            </w:pPr>
            <w:r w:rsidRPr="00D66CB0">
              <w:rPr>
                <w:i/>
                <w:iCs/>
                <w:szCs w:val="24"/>
                <w:vertAlign w:val="superscript"/>
              </w:rPr>
              <w:t>Signature</w:t>
            </w:r>
          </w:p>
        </w:tc>
      </w:tr>
      <w:tr w:rsidR="00E2727D" w:rsidRPr="00D66CB0" w14:paraId="0B98A680" w14:textId="77777777" w:rsidTr="00542159">
        <w:trPr>
          <w:trHeight w:val="480"/>
        </w:trPr>
        <w:tc>
          <w:tcPr>
            <w:tcW w:w="4518" w:type="dxa"/>
            <w:tcBorders>
              <w:bottom w:val="single" w:sz="12" w:space="0" w:color="auto"/>
            </w:tcBorders>
            <w:vAlign w:val="bottom"/>
          </w:tcPr>
          <w:p w14:paraId="51C7B9F3" w14:textId="77777777" w:rsidR="00E2727D" w:rsidRPr="00D66CB0" w:rsidRDefault="00E2727D" w:rsidP="00542159">
            <w:pPr>
              <w:pStyle w:val="Normal-Left"/>
              <w:spacing w:before="240" w:after="0"/>
              <w:rPr>
                <w:szCs w:val="24"/>
              </w:rPr>
            </w:pPr>
          </w:p>
        </w:tc>
        <w:tc>
          <w:tcPr>
            <w:tcW w:w="450" w:type="dxa"/>
            <w:vAlign w:val="bottom"/>
          </w:tcPr>
          <w:p w14:paraId="76358FBE" w14:textId="77777777" w:rsidR="00E2727D" w:rsidRPr="00D66CB0" w:rsidRDefault="00E2727D" w:rsidP="00542159">
            <w:pPr>
              <w:rPr>
                <w:szCs w:val="24"/>
              </w:rPr>
            </w:pPr>
          </w:p>
        </w:tc>
        <w:tc>
          <w:tcPr>
            <w:tcW w:w="4590" w:type="dxa"/>
            <w:tcBorders>
              <w:bottom w:val="single" w:sz="12" w:space="0" w:color="auto"/>
            </w:tcBorders>
            <w:vAlign w:val="bottom"/>
          </w:tcPr>
          <w:p w14:paraId="7FD85E83" w14:textId="77777777" w:rsidR="00E2727D" w:rsidRPr="00D66CB0" w:rsidRDefault="00E2727D" w:rsidP="00542159">
            <w:pPr>
              <w:rPr>
                <w:szCs w:val="24"/>
              </w:rPr>
            </w:pPr>
          </w:p>
          <w:p w14:paraId="2AAEB669" w14:textId="77777777" w:rsidR="00E2727D" w:rsidRPr="00D66CB0" w:rsidRDefault="00E2727D" w:rsidP="00542159">
            <w:pPr>
              <w:rPr>
                <w:szCs w:val="24"/>
              </w:rPr>
            </w:pPr>
          </w:p>
        </w:tc>
      </w:tr>
      <w:tr w:rsidR="00E2727D" w:rsidRPr="00D66CB0" w14:paraId="7CD514E1" w14:textId="77777777" w:rsidTr="00542159">
        <w:tc>
          <w:tcPr>
            <w:tcW w:w="4518" w:type="dxa"/>
            <w:tcBorders>
              <w:top w:val="single" w:sz="12" w:space="0" w:color="auto"/>
            </w:tcBorders>
          </w:tcPr>
          <w:p w14:paraId="7A38337F" w14:textId="77777777" w:rsidR="00E2727D" w:rsidRPr="00D66CB0" w:rsidRDefault="00E2727D" w:rsidP="00542159">
            <w:pPr>
              <w:rPr>
                <w:i/>
                <w:iCs/>
                <w:szCs w:val="24"/>
                <w:vertAlign w:val="superscript"/>
              </w:rPr>
            </w:pPr>
            <w:r w:rsidRPr="00D66CB0">
              <w:rPr>
                <w:i/>
                <w:iCs/>
                <w:szCs w:val="24"/>
                <w:vertAlign w:val="superscript"/>
              </w:rPr>
              <w:t>Print or Type Name                                           Date</w:t>
            </w:r>
          </w:p>
        </w:tc>
        <w:tc>
          <w:tcPr>
            <w:tcW w:w="450" w:type="dxa"/>
          </w:tcPr>
          <w:p w14:paraId="591C756A" w14:textId="77777777" w:rsidR="00E2727D" w:rsidRPr="00D66CB0" w:rsidRDefault="00E2727D" w:rsidP="00542159">
            <w:pPr>
              <w:rPr>
                <w:i/>
                <w:iCs/>
                <w:szCs w:val="24"/>
                <w:vertAlign w:val="superscript"/>
              </w:rPr>
            </w:pPr>
          </w:p>
        </w:tc>
        <w:tc>
          <w:tcPr>
            <w:tcW w:w="4590" w:type="dxa"/>
            <w:tcBorders>
              <w:top w:val="single" w:sz="12" w:space="0" w:color="auto"/>
            </w:tcBorders>
          </w:tcPr>
          <w:p w14:paraId="33D13B1A" w14:textId="77777777" w:rsidR="00E2727D" w:rsidRPr="00D66CB0" w:rsidRDefault="00E2727D" w:rsidP="00542159">
            <w:pPr>
              <w:rPr>
                <w:i/>
                <w:iCs/>
                <w:szCs w:val="24"/>
                <w:vertAlign w:val="superscript"/>
              </w:rPr>
            </w:pPr>
            <w:r w:rsidRPr="00D66CB0">
              <w:rPr>
                <w:i/>
                <w:iCs/>
                <w:szCs w:val="24"/>
                <w:vertAlign w:val="superscript"/>
              </w:rPr>
              <w:t>Print or Type Name                                                Date</w:t>
            </w:r>
          </w:p>
        </w:tc>
      </w:tr>
      <w:tr w:rsidR="00E2727D" w:rsidRPr="00D66CB0" w14:paraId="3CE7AF19" w14:textId="77777777" w:rsidTr="00542159">
        <w:trPr>
          <w:trHeight w:val="720"/>
        </w:trPr>
        <w:tc>
          <w:tcPr>
            <w:tcW w:w="4518" w:type="dxa"/>
            <w:tcBorders>
              <w:bottom w:val="single" w:sz="12" w:space="0" w:color="auto"/>
            </w:tcBorders>
            <w:vAlign w:val="bottom"/>
          </w:tcPr>
          <w:p w14:paraId="158F0409" w14:textId="77777777" w:rsidR="00E2727D" w:rsidRPr="00D66CB0" w:rsidRDefault="00E2727D" w:rsidP="00542159">
            <w:pPr>
              <w:spacing w:before="240"/>
              <w:rPr>
                <w:szCs w:val="24"/>
              </w:rPr>
            </w:pPr>
          </w:p>
        </w:tc>
        <w:tc>
          <w:tcPr>
            <w:tcW w:w="450" w:type="dxa"/>
            <w:vAlign w:val="bottom"/>
          </w:tcPr>
          <w:p w14:paraId="2A9A9055" w14:textId="77777777" w:rsidR="00E2727D" w:rsidRPr="00D66CB0" w:rsidRDefault="00E2727D" w:rsidP="00542159">
            <w:pPr>
              <w:rPr>
                <w:szCs w:val="24"/>
                <w:vertAlign w:val="superscript"/>
              </w:rPr>
            </w:pPr>
          </w:p>
        </w:tc>
        <w:tc>
          <w:tcPr>
            <w:tcW w:w="4590" w:type="dxa"/>
            <w:tcBorders>
              <w:bottom w:val="single" w:sz="12" w:space="0" w:color="auto"/>
            </w:tcBorders>
            <w:vAlign w:val="bottom"/>
          </w:tcPr>
          <w:p w14:paraId="069FD62A" w14:textId="739ED2E4" w:rsidR="00E2727D" w:rsidRPr="00D66CB0" w:rsidRDefault="00E2727D" w:rsidP="00542159">
            <w:pPr>
              <w:rPr>
                <w:iCs/>
                <w:szCs w:val="24"/>
              </w:rPr>
            </w:pPr>
          </w:p>
        </w:tc>
      </w:tr>
      <w:tr w:rsidR="00E2727D" w:rsidRPr="00D66CB0" w14:paraId="759BEB06" w14:textId="77777777" w:rsidTr="00542159">
        <w:tc>
          <w:tcPr>
            <w:tcW w:w="4518" w:type="dxa"/>
            <w:tcBorders>
              <w:top w:val="single" w:sz="12" w:space="0" w:color="auto"/>
            </w:tcBorders>
          </w:tcPr>
          <w:p w14:paraId="1F352182" w14:textId="77777777" w:rsidR="00E2727D" w:rsidRPr="00D66CB0" w:rsidRDefault="00E2727D" w:rsidP="00542159">
            <w:pPr>
              <w:rPr>
                <w:i/>
                <w:iCs/>
                <w:szCs w:val="24"/>
                <w:vertAlign w:val="superscript"/>
              </w:rPr>
            </w:pPr>
            <w:r w:rsidRPr="00D66CB0">
              <w:rPr>
                <w:i/>
                <w:iCs/>
                <w:szCs w:val="24"/>
                <w:vertAlign w:val="superscript"/>
              </w:rPr>
              <w:t>Title</w:t>
            </w:r>
          </w:p>
        </w:tc>
        <w:tc>
          <w:tcPr>
            <w:tcW w:w="450" w:type="dxa"/>
          </w:tcPr>
          <w:p w14:paraId="54534062" w14:textId="77777777" w:rsidR="00E2727D" w:rsidRPr="00D66CB0" w:rsidRDefault="00E2727D" w:rsidP="00542159">
            <w:pPr>
              <w:rPr>
                <w:i/>
                <w:iCs/>
                <w:szCs w:val="24"/>
                <w:vertAlign w:val="superscript"/>
              </w:rPr>
            </w:pPr>
          </w:p>
        </w:tc>
        <w:tc>
          <w:tcPr>
            <w:tcW w:w="4590" w:type="dxa"/>
            <w:tcBorders>
              <w:top w:val="single" w:sz="12" w:space="0" w:color="auto"/>
            </w:tcBorders>
          </w:tcPr>
          <w:p w14:paraId="18D9C65F" w14:textId="77777777" w:rsidR="00E2727D" w:rsidRPr="00D66CB0" w:rsidRDefault="00E2727D" w:rsidP="00542159">
            <w:pPr>
              <w:rPr>
                <w:i/>
                <w:iCs/>
                <w:szCs w:val="24"/>
                <w:vertAlign w:val="superscript"/>
              </w:rPr>
            </w:pPr>
            <w:r w:rsidRPr="00D66CB0">
              <w:rPr>
                <w:i/>
                <w:iCs/>
                <w:szCs w:val="24"/>
                <w:vertAlign w:val="superscript"/>
              </w:rPr>
              <w:t xml:space="preserve">Title </w:t>
            </w:r>
          </w:p>
        </w:tc>
      </w:tr>
    </w:tbl>
    <w:p w14:paraId="79942E13" w14:textId="77777777" w:rsidR="00E2727D" w:rsidRPr="00D66CB0" w:rsidRDefault="00E2727D" w:rsidP="00E2727D">
      <w:pPr>
        <w:rPr>
          <w:szCs w:val="24"/>
        </w:rPr>
      </w:pPr>
      <w:r w:rsidRPr="00D66CB0">
        <w:rPr>
          <w:b/>
          <w:szCs w:val="24"/>
        </w:rPr>
        <w:br w:type="page"/>
      </w:r>
    </w:p>
    <w:p w14:paraId="44B89A7E" w14:textId="488B9FD3" w:rsidR="00E2727D" w:rsidRPr="00D66CB0" w:rsidRDefault="00E2727D" w:rsidP="00E2727D">
      <w:pPr>
        <w:jc w:val="center"/>
        <w:rPr>
          <w:b/>
          <w:i/>
          <w:sz w:val="32"/>
        </w:rPr>
      </w:pPr>
      <w:r w:rsidRPr="00D66CB0">
        <w:rPr>
          <w:b/>
          <w:i/>
          <w:sz w:val="32"/>
        </w:rPr>
        <w:lastRenderedPageBreak/>
        <w:t>PRI</w:t>
      </w:r>
      <w:r w:rsidR="00233187">
        <w:rPr>
          <w:b/>
          <w:i/>
          <w:sz w:val="32"/>
        </w:rPr>
        <w:t xml:space="preserve"> T-1</w:t>
      </w:r>
      <w:r w:rsidRPr="00D66CB0">
        <w:rPr>
          <w:b/>
          <w:i/>
          <w:sz w:val="32"/>
        </w:rPr>
        <w:t xml:space="preserve"> Statement of Work Template</w:t>
      </w:r>
    </w:p>
    <w:p w14:paraId="790BBCE5" w14:textId="77777777" w:rsidR="00E2727D" w:rsidRPr="00D66CB0" w:rsidRDefault="00E2727D" w:rsidP="00E2727D">
      <w:pPr>
        <w:rPr>
          <w:b/>
          <w:szCs w:val="22"/>
        </w:rPr>
      </w:pPr>
    </w:p>
    <w:p w14:paraId="525A9753" w14:textId="6F245057" w:rsidR="00E2727D" w:rsidRPr="00CD5E8A" w:rsidRDefault="00E2727D" w:rsidP="00E2727D">
      <w:pPr>
        <w:rPr>
          <w:szCs w:val="22"/>
        </w:rPr>
      </w:pPr>
      <w:r w:rsidRPr="00CD5E8A">
        <w:rPr>
          <w:szCs w:val="22"/>
        </w:rPr>
        <w:t xml:space="preserve">This Statement of Work </w:t>
      </w:r>
      <w:r w:rsidR="00B8251E">
        <w:rPr>
          <w:szCs w:val="22"/>
        </w:rPr>
        <w:t>(SOW)</w:t>
      </w:r>
      <w:r w:rsidRPr="00CD5E8A">
        <w:rPr>
          <w:szCs w:val="22"/>
        </w:rPr>
        <w:t xml:space="preserve"> </w:t>
      </w:r>
      <w:r w:rsidR="00D06FAC">
        <w:rPr>
          <w:szCs w:val="22"/>
        </w:rPr>
        <w:t>03-2</w:t>
      </w:r>
      <w:r w:rsidR="008A07E6">
        <w:rPr>
          <w:szCs w:val="22"/>
        </w:rPr>
        <w:t>5</w:t>
      </w:r>
      <w:r w:rsidR="00D06FAC">
        <w:rPr>
          <w:szCs w:val="22"/>
        </w:rPr>
        <w:t>-XXX</w:t>
      </w:r>
      <w:r w:rsidR="009B3DFC">
        <w:rPr>
          <w:szCs w:val="22"/>
        </w:rPr>
        <w:t xml:space="preserve"> </w:t>
      </w:r>
      <w:r w:rsidRPr="00CD5E8A">
        <w:rPr>
          <w:szCs w:val="22"/>
        </w:rPr>
        <w:t xml:space="preserve">is made and entered by and between the State of Washington, </w:t>
      </w:r>
      <w:r w:rsidR="00EA7ABB">
        <w:rPr>
          <w:szCs w:val="22"/>
        </w:rPr>
        <w:t>Washington Technology Solutions</w:t>
      </w:r>
      <w:r w:rsidRPr="00CD5E8A">
        <w:rPr>
          <w:szCs w:val="22"/>
        </w:rPr>
        <w:t xml:space="preserve"> (</w:t>
      </w:r>
      <w:r w:rsidR="00212435" w:rsidRPr="00CD5E8A">
        <w:rPr>
          <w:szCs w:val="22"/>
        </w:rPr>
        <w:t>“</w:t>
      </w:r>
      <w:r w:rsidR="008A07E6">
        <w:rPr>
          <w:szCs w:val="22"/>
        </w:rPr>
        <w:t>WaTech</w:t>
      </w:r>
      <w:r w:rsidR="00212435" w:rsidRPr="00CD5E8A">
        <w:rPr>
          <w:szCs w:val="22"/>
        </w:rPr>
        <w:t>”</w:t>
      </w:r>
      <w:r w:rsidRPr="00CD5E8A">
        <w:rPr>
          <w:szCs w:val="22"/>
        </w:rPr>
        <w:t xml:space="preserve">), and </w:t>
      </w:r>
      <w:proofErr w:type="spellStart"/>
      <w:r w:rsidRPr="00CD5E8A">
        <w:rPr>
          <w:i/>
          <w:szCs w:val="22"/>
        </w:rPr>
        <w:t>xxxxxxxxxx</w:t>
      </w:r>
      <w:proofErr w:type="spellEnd"/>
      <w:r w:rsidRPr="00CD5E8A">
        <w:rPr>
          <w:i/>
          <w:szCs w:val="22"/>
        </w:rPr>
        <w:t xml:space="preserve"> </w:t>
      </w:r>
      <w:proofErr w:type="spellStart"/>
      <w:r w:rsidRPr="00CD5E8A">
        <w:rPr>
          <w:i/>
          <w:szCs w:val="22"/>
        </w:rPr>
        <w:t>xxxxxxxx</w:t>
      </w:r>
      <w:proofErr w:type="spellEnd"/>
      <w:r w:rsidRPr="00CD5E8A">
        <w:rPr>
          <w:szCs w:val="22"/>
        </w:rPr>
        <w:t>(</w:t>
      </w:r>
      <w:r w:rsidR="00212435" w:rsidRPr="00CD5E8A">
        <w:rPr>
          <w:szCs w:val="22"/>
        </w:rPr>
        <w:t>“</w:t>
      </w:r>
      <w:r w:rsidRPr="00CD5E8A">
        <w:rPr>
          <w:szCs w:val="22"/>
        </w:rPr>
        <w:t>Contractor</w:t>
      </w:r>
      <w:r w:rsidR="00212435" w:rsidRPr="00CD5E8A">
        <w:rPr>
          <w:szCs w:val="22"/>
        </w:rPr>
        <w:t>”</w:t>
      </w:r>
      <w:r w:rsidRPr="00CD5E8A">
        <w:rPr>
          <w:szCs w:val="22"/>
        </w:rPr>
        <w:t xml:space="preserve">), collectively referred to as </w:t>
      </w:r>
      <w:r w:rsidR="00212435" w:rsidRPr="00CD5E8A">
        <w:rPr>
          <w:szCs w:val="22"/>
        </w:rPr>
        <w:t>“</w:t>
      </w:r>
      <w:r w:rsidRPr="00CD5E8A">
        <w:rPr>
          <w:szCs w:val="22"/>
        </w:rPr>
        <w:t>Parties</w:t>
      </w:r>
      <w:r w:rsidR="00212435" w:rsidRPr="00CD5E8A">
        <w:rPr>
          <w:szCs w:val="22"/>
        </w:rPr>
        <w:t>”</w:t>
      </w:r>
      <w:r w:rsidRPr="00CD5E8A">
        <w:rPr>
          <w:szCs w:val="22"/>
        </w:rPr>
        <w:t xml:space="preserve"> pursuant to Section </w:t>
      </w:r>
      <w:proofErr w:type="spellStart"/>
      <w:r w:rsidRPr="00CD5E8A">
        <w:rPr>
          <w:szCs w:val="22"/>
        </w:rPr>
        <w:t>xxxxxxx</w:t>
      </w:r>
      <w:proofErr w:type="spellEnd"/>
      <w:r w:rsidRPr="00CD5E8A">
        <w:rPr>
          <w:szCs w:val="22"/>
        </w:rPr>
        <w:t xml:space="preserve"> of that certain contract No. </w:t>
      </w:r>
      <w:proofErr w:type="spellStart"/>
      <w:r w:rsidRPr="00CD5E8A">
        <w:rPr>
          <w:szCs w:val="22"/>
        </w:rPr>
        <w:t>xxxxxxxxxxxx</w:t>
      </w:r>
      <w:proofErr w:type="spellEnd"/>
      <w:r w:rsidRPr="00CD5E8A">
        <w:rPr>
          <w:szCs w:val="22"/>
        </w:rPr>
        <w:t xml:space="preserve"> for </w:t>
      </w:r>
      <w:r w:rsidR="007853FA">
        <w:rPr>
          <w:szCs w:val="22"/>
        </w:rPr>
        <w:t>PRI T-1</w:t>
      </w:r>
      <w:r w:rsidR="004376BA">
        <w:rPr>
          <w:szCs w:val="22"/>
        </w:rPr>
        <w:t xml:space="preserve"> </w:t>
      </w:r>
      <w:r w:rsidRPr="00CD5E8A">
        <w:rPr>
          <w:szCs w:val="22"/>
        </w:rPr>
        <w:t>Services.</w:t>
      </w:r>
    </w:p>
    <w:p w14:paraId="786C27FC" w14:textId="77777777" w:rsidR="00E2727D" w:rsidRPr="00CD5E8A" w:rsidRDefault="00E2727D" w:rsidP="00E2727D">
      <w:pPr>
        <w:pStyle w:val="BodyText"/>
        <w:jc w:val="center"/>
        <w:rPr>
          <w:b/>
          <w:szCs w:val="22"/>
        </w:rPr>
      </w:pPr>
      <w:r w:rsidRPr="00CD5E8A">
        <w:rPr>
          <w:b/>
          <w:szCs w:val="22"/>
          <w:u w:val="single"/>
        </w:rPr>
        <w:t>Recitals</w:t>
      </w:r>
    </w:p>
    <w:p w14:paraId="6846F0C5" w14:textId="5A638B5B" w:rsidR="00E2727D" w:rsidRPr="00CD5E8A" w:rsidRDefault="00E2727D" w:rsidP="00E2727D">
      <w:pPr>
        <w:pStyle w:val="BodyText"/>
        <w:rPr>
          <w:szCs w:val="22"/>
        </w:rPr>
      </w:pPr>
      <w:r w:rsidRPr="00CD5E8A">
        <w:rPr>
          <w:szCs w:val="22"/>
        </w:rPr>
        <w:t xml:space="preserve">NOW THEREFORE, for valuable consideration, the receipt and sufficiency of which is hereby acknowledged by the Parties, the Parties hereby agree as follows.  Unless otherwise defined, capitalized terms in this Amendment have the meanings ascribed to them in the Contract. The terms and conditions of the </w:t>
      </w:r>
      <w:r w:rsidR="00C15110">
        <w:rPr>
          <w:szCs w:val="22"/>
        </w:rPr>
        <w:t>Network</w:t>
      </w:r>
      <w:r w:rsidRPr="00CD5E8A">
        <w:rPr>
          <w:szCs w:val="22"/>
        </w:rPr>
        <w:t xml:space="preserve"> Services </w:t>
      </w:r>
      <w:proofErr w:type="gramStart"/>
      <w:r w:rsidRPr="00CD5E8A">
        <w:rPr>
          <w:szCs w:val="22"/>
        </w:rPr>
        <w:t>Agreement,</w:t>
      </w:r>
      <w:proofErr w:type="gramEnd"/>
      <w:r w:rsidRPr="00CD5E8A">
        <w:rPr>
          <w:szCs w:val="22"/>
        </w:rPr>
        <w:t xml:space="preserve"> and </w:t>
      </w:r>
      <w:r w:rsidR="007853FA">
        <w:rPr>
          <w:szCs w:val="22"/>
        </w:rPr>
        <w:t>PRI T-1</w:t>
      </w:r>
      <w:r w:rsidR="004376BA">
        <w:rPr>
          <w:szCs w:val="22"/>
        </w:rPr>
        <w:t xml:space="preserve"> </w:t>
      </w:r>
      <w:r w:rsidRPr="00CD5E8A">
        <w:rPr>
          <w:szCs w:val="22"/>
        </w:rPr>
        <w:t>Addendum are hereby restated and incorporated by reference in their entirety.</w:t>
      </w:r>
    </w:p>
    <w:p w14:paraId="167CAC6A" w14:textId="77777777" w:rsidR="00E2727D" w:rsidRPr="00CD5E8A" w:rsidRDefault="00E2727D" w:rsidP="00CD5E8A">
      <w:pPr>
        <w:pStyle w:val="Heading1"/>
        <w:numPr>
          <w:ilvl w:val="0"/>
          <w:numId w:val="33"/>
        </w:numPr>
        <w:rPr>
          <w:sz w:val="22"/>
          <w:szCs w:val="22"/>
        </w:rPr>
      </w:pPr>
      <w:r w:rsidRPr="00CD5E8A">
        <w:rPr>
          <w:sz w:val="22"/>
          <w:szCs w:val="22"/>
        </w:rPr>
        <w:t>Term:</w:t>
      </w:r>
    </w:p>
    <w:p w14:paraId="47EF2E9B" w14:textId="77777777" w:rsidR="00E2727D" w:rsidRPr="00CD5E8A" w:rsidRDefault="00E2727D" w:rsidP="00102FFE">
      <w:pPr>
        <w:pStyle w:val="BlockText"/>
        <w:ind w:right="0"/>
        <w:rPr>
          <w:b/>
          <w:i w:val="0"/>
          <w:noProof/>
          <w:color w:val="auto"/>
          <w:kern w:val="28"/>
          <w:sz w:val="22"/>
          <w:szCs w:val="22"/>
        </w:rPr>
      </w:pPr>
      <w:r w:rsidRPr="00CD5E8A">
        <w:rPr>
          <w:i w:val="0"/>
          <w:color w:val="auto"/>
          <w:sz w:val="22"/>
          <w:szCs w:val="22"/>
        </w:rPr>
        <w:t>The Service Term shall be thirty</w:t>
      </w:r>
      <w:r w:rsidR="006A05A4">
        <w:rPr>
          <w:i w:val="0"/>
          <w:color w:val="auto"/>
          <w:sz w:val="22"/>
          <w:szCs w:val="22"/>
        </w:rPr>
        <w:t>-</w:t>
      </w:r>
      <w:r w:rsidRPr="00CD5E8A">
        <w:rPr>
          <w:i w:val="0"/>
          <w:color w:val="auto"/>
          <w:sz w:val="22"/>
          <w:szCs w:val="22"/>
        </w:rPr>
        <w:t>six (36) months, commencing upon the d</w:t>
      </w:r>
      <w:r w:rsidR="00102FFE" w:rsidRPr="00CD5E8A">
        <w:rPr>
          <w:i w:val="0"/>
          <w:color w:val="auto"/>
          <w:sz w:val="22"/>
          <w:szCs w:val="22"/>
        </w:rPr>
        <w:t xml:space="preserve">ate of the Service </w:t>
      </w:r>
      <w:r w:rsidR="00102FFE" w:rsidRPr="00CD5E8A">
        <w:rPr>
          <w:b/>
          <w:i w:val="0"/>
          <w:noProof/>
          <w:color w:val="auto"/>
          <w:kern w:val="28"/>
          <w:sz w:val="22"/>
          <w:szCs w:val="22"/>
        </w:rPr>
        <w:t xml:space="preserve">Acceptance. </w:t>
      </w:r>
    </w:p>
    <w:p w14:paraId="3DDBD0D1" w14:textId="77777777" w:rsidR="00E2727D" w:rsidRPr="00CD5E8A" w:rsidRDefault="00E2727D" w:rsidP="00E2727D">
      <w:pPr>
        <w:pStyle w:val="BlockText"/>
        <w:ind w:right="0"/>
        <w:rPr>
          <w:i w:val="0"/>
          <w:color w:val="auto"/>
          <w:sz w:val="22"/>
          <w:szCs w:val="22"/>
        </w:rPr>
      </w:pPr>
    </w:p>
    <w:p w14:paraId="34E6B9F8" w14:textId="220EC3EF" w:rsidR="00E2727D" w:rsidRPr="00CD5E8A" w:rsidRDefault="00E2727D" w:rsidP="00E2727D">
      <w:pPr>
        <w:pStyle w:val="BlockText"/>
        <w:ind w:right="0"/>
        <w:rPr>
          <w:i w:val="0"/>
          <w:color w:val="auto"/>
          <w:sz w:val="22"/>
          <w:szCs w:val="22"/>
        </w:rPr>
      </w:pPr>
      <w:r w:rsidRPr="00CD5E8A">
        <w:rPr>
          <w:i w:val="0"/>
          <w:color w:val="auto"/>
          <w:sz w:val="22"/>
          <w:szCs w:val="22"/>
        </w:rPr>
        <w:t xml:space="preserve">This SOW shall be effective as of the date executed by </w:t>
      </w:r>
      <w:r w:rsidR="008A07E6">
        <w:rPr>
          <w:i w:val="0"/>
          <w:color w:val="auto"/>
          <w:sz w:val="22"/>
          <w:szCs w:val="22"/>
        </w:rPr>
        <w:t>WaTech</w:t>
      </w:r>
      <w:r w:rsidRPr="00CD5E8A">
        <w:rPr>
          <w:i w:val="0"/>
          <w:color w:val="auto"/>
          <w:sz w:val="22"/>
          <w:szCs w:val="22"/>
        </w:rPr>
        <w:t xml:space="preserve"> (the </w:t>
      </w:r>
      <w:r w:rsidR="00212435" w:rsidRPr="00CD5E8A">
        <w:rPr>
          <w:i w:val="0"/>
          <w:color w:val="auto"/>
          <w:sz w:val="22"/>
          <w:szCs w:val="22"/>
        </w:rPr>
        <w:t>“</w:t>
      </w:r>
      <w:r w:rsidRPr="00CD5E8A">
        <w:rPr>
          <w:i w:val="0"/>
          <w:color w:val="auto"/>
          <w:sz w:val="22"/>
          <w:szCs w:val="22"/>
        </w:rPr>
        <w:t>Effective Date</w:t>
      </w:r>
      <w:r w:rsidR="00212435" w:rsidRPr="00CD5E8A">
        <w:rPr>
          <w:i w:val="0"/>
          <w:color w:val="auto"/>
          <w:sz w:val="22"/>
          <w:szCs w:val="22"/>
        </w:rPr>
        <w:t>”</w:t>
      </w:r>
      <w:r w:rsidRPr="00CD5E8A">
        <w:rPr>
          <w:i w:val="0"/>
          <w:color w:val="auto"/>
          <w:sz w:val="22"/>
          <w:szCs w:val="22"/>
        </w:rPr>
        <w:t>) and continue in full force and effect for the duration of the Service Term measured from the Service Acceptance for each site covered by this SOW.</w:t>
      </w:r>
    </w:p>
    <w:p w14:paraId="4C3FC063" w14:textId="77777777" w:rsidR="00E2727D" w:rsidRPr="00CD5E8A" w:rsidRDefault="00E2727D" w:rsidP="00CD5E8A">
      <w:pPr>
        <w:pStyle w:val="Heading1"/>
        <w:numPr>
          <w:ilvl w:val="0"/>
          <w:numId w:val="33"/>
        </w:numPr>
        <w:rPr>
          <w:sz w:val="22"/>
          <w:szCs w:val="22"/>
        </w:rPr>
      </w:pPr>
      <w:r w:rsidRPr="00CD5E8A">
        <w:rPr>
          <w:sz w:val="22"/>
          <w:szCs w:val="22"/>
        </w:rPr>
        <w:t>Service Delivery Locations.</w:t>
      </w:r>
    </w:p>
    <w:p w14:paraId="44C48190" w14:textId="77777777" w:rsidR="00E2727D" w:rsidRPr="00CD5E8A" w:rsidRDefault="00E2727D" w:rsidP="00E2727D">
      <w:pPr>
        <w:pStyle w:val="BlockText"/>
        <w:ind w:right="0"/>
        <w:rPr>
          <w:i w:val="0"/>
          <w:color w:val="auto"/>
          <w:sz w:val="22"/>
          <w:szCs w:val="22"/>
        </w:rPr>
      </w:pPr>
      <w:r w:rsidRPr="00CD5E8A">
        <w:rPr>
          <w:i w:val="0"/>
          <w:color w:val="auto"/>
          <w:sz w:val="22"/>
          <w:szCs w:val="22"/>
        </w:rPr>
        <w:t xml:space="preserve">Contractor agrees to provide, </w:t>
      </w:r>
      <w:proofErr w:type="gramStart"/>
      <w:r w:rsidRPr="00CD5E8A">
        <w:rPr>
          <w:i w:val="0"/>
          <w:color w:val="auto"/>
          <w:sz w:val="22"/>
          <w:szCs w:val="22"/>
        </w:rPr>
        <w:t>at all times</w:t>
      </w:r>
      <w:proofErr w:type="gramEnd"/>
      <w:r w:rsidRPr="00CD5E8A">
        <w:rPr>
          <w:i w:val="0"/>
          <w:color w:val="auto"/>
          <w:sz w:val="22"/>
          <w:szCs w:val="22"/>
        </w:rPr>
        <w:t xml:space="preserve"> during the Term of this SOW, </w:t>
      </w:r>
      <w:r w:rsidR="007853FA">
        <w:rPr>
          <w:i w:val="0"/>
          <w:color w:val="auto"/>
          <w:sz w:val="22"/>
          <w:szCs w:val="22"/>
        </w:rPr>
        <w:t>PRI T-1</w:t>
      </w:r>
      <w:r w:rsidR="004376BA">
        <w:rPr>
          <w:i w:val="0"/>
          <w:color w:val="auto"/>
          <w:sz w:val="22"/>
          <w:szCs w:val="22"/>
        </w:rPr>
        <w:t xml:space="preserve"> </w:t>
      </w:r>
      <w:r w:rsidRPr="00CD5E8A">
        <w:rPr>
          <w:i w:val="0"/>
          <w:color w:val="auto"/>
          <w:sz w:val="22"/>
          <w:szCs w:val="22"/>
        </w:rPr>
        <w:t xml:space="preserve">Services at the throughput, price, quantity, and features at each address specified in Exhibit 1. </w:t>
      </w:r>
    </w:p>
    <w:p w14:paraId="627D73B4" w14:textId="77777777" w:rsidR="00E2727D" w:rsidRPr="00CD5E8A" w:rsidRDefault="00E2727D" w:rsidP="00CD5E8A">
      <w:pPr>
        <w:pStyle w:val="Heading1"/>
        <w:numPr>
          <w:ilvl w:val="0"/>
          <w:numId w:val="33"/>
        </w:numPr>
        <w:rPr>
          <w:sz w:val="22"/>
          <w:szCs w:val="22"/>
        </w:rPr>
      </w:pPr>
      <w:r w:rsidRPr="00CD5E8A">
        <w:rPr>
          <w:sz w:val="22"/>
          <w:szCs w:val="22"/>
        </w:rPr>
        <w:t>Special Terms:</w:t>
      </w:r>
    </w:p>
    <w:p w14:paraId="01CC9AAF" w14:textId="40A6D099" w:rsidR="00E2727D" w:rsidRPr="00CD5E8A" w:rsidRDefault="00E2727D" w:rsidP="00CD5E8A">
      <w:pPr>
        <w:pStyle w:val="Heading1"/>
        <w:numPr>
          <w:ilvl w:val="1"/>
          <w:numId w:val="33"/>
        </w:numPr>
        <w:rPr>
          <w:b w:val="0"/>
          <w:sz w:val="22"/>
          <w:szCs w:val="22"/>
        </w:rPr>
      </w:pPr>
      <w:r w:rsidRPr="00CD5E8A">
        <w:rPr>
          <w:b w:val="0"/>
          <w:sz w:val="22"/>
          <w:szCs w:val="22"/>
        </w:rPr>
        <w:t xml:space="preserve">(Special Instructions from the </w:t>
      </w:r>
      <w:r w:rsidR="00B8251E" w:rsidRPr="00CD5E8A">
        <w:rPr>
          <w:b w:val="0"/>
          <w:sz w:val="22"/>
          <w:szCs w:val="22"/>
        </w:rPr>
        <w:t>RF</w:t>
      </w:r>
      <w:r w:rsidR="00B8251E">
        <w:rPr>
          <w:b w:val="0"/>
          <w:sz w:val="22"/>
          <w:szCs w:val="22"/>
        </w:rPr>
        <w:t>Q</w:t>
      </w:r>
      <w:r w:rsidRPr="00CD5E8A">
        <w:rPr>
          <w:b w:val="0"/>
          <w:sz w:val="22"/>
          <w:szCs w:val="22"/>
        </w:rPr>
        <w:t>, Special Handoff – if requested, background check if required, extended demarc requests etc.)</w:t>
      </w:r>
    </w:p>
    <w:p w14:paraId="2156DA55" w14:textId="77777777" w:rsidR="00E2727D" w:rsidRPr="00CD5E8A" w:rsidRDefault="00E2727D" w:rsidP="00CD5E8A">
      <w:pPr>
        <w:pStyle w:val="Heading1"/>
        <w:numPr>
          <w:ilvl w:val="0"/>
          <w:numId w:val="33"/>
        </w:numPr>
        <w:rPr>
          <w:sz w:val="22"/>
          <w:szCs w:val="22"/>
        </w:rPr>
      </w:pPr>
      <w:r w:rsidRPr="00CD5E8A">
        <w:rPr>
          <w:sz w:val="22"/>
          <w:szCs w:val="22"/>
        </w:rPr>
        <w:t xml:space="preserve">Contractor’s Response. </w:t>
      </w:r>
    </w:p>
    <w:p w14:paraId="1C02AF8C" w14:textId="749372D3" w:rsidR="00E2727D" w:rsidRPr="00CD5E8A" w:rsidRDefault="00E2727D" w:rsidP="00CD5E8A">
      <w:pPr>
        <w:pStyle w:val="Heading1"/>
        <w:numPr>
          <w:ilvl w:val="1"/>
          <w:numId w:val="33"/>
        </w:numPr>
        <w:rPr>
          <w:b w:val="0"/>
          <w:sz w:val="22"/>
          <w:szCs w:val="22"/>
        </w:rPr>
      </w:pPr>
      <w:r w:rsidRPr="00CD5E8A">
        <w:rPr>
          <w:b w:val="0"/>
          <w:sz w:val="22"/>
          <w:szCs w:val="22"/>
        </w:rPr>
        <w:t xml:space="preserve">A copy of Contractor’s response to the </w:t>
      </w:r>
      <w:r w:rsidR="008A07E6">
        <w:rPr>
          <w:b w:val="0"/>
          <w:sz w:val="22"/>
          <w:szCs w:val="22"/>
        </w:rPr>
        <w:t>WaTech’s</w:t>
      </w:r>
      <w:r w:rsidRPr="00CD5E8A">
        <w:rPr>
          <w:b w:val="0"/>
          <w:sz w:val="22"/>
          <w:szCs w:val="22"/>
        </w:rPr>
        <w:t xml:space="preserve"> Procurement resulting in this award is attached as Exhibit 2 as is incorporated by reference as if fully set forth herein. </w:t>
      </w:r>
    </w:p>
    <w:p w14:paraId="2E154EF9" w14:textId="77777777" w:rsidR="00E2727D" w:rsidRPr="00CD5E8A" w:rsidRDefault="00E2727D" w:rsidP="00CD5E8A">
      <w:pPr>
        <w:pStyle w:val="Heading1"/>
        <w:numPr>
          <w:ilvl w:val="1"/>
          <w:numId w:val="33"/>
        </w:numPr>
        <w:rPr>
          <w:b w:val="0"/>
          <w:sz w:val="22"/>
          <w:szCs w:val="22"/>
        </w:rPr>
      </w:pPr>
      <w:r w:rsidRPr="00CD5E8A">
        <w:rPr>
          <w:b w:val="0"/>
          <w:sz w:val="22"/>
          <w:szCs w:val="22"/>
        </w:rPr>
        <w:t xml:space="preserve">In the event the Parties need to exercise any options available on the procurement but not accepted in this SOW, the Parties will execute an amendment reflecting the exercise of said options. </w:t>
      </w:r>
    </w:p>
    <w:p w14:paraId="02837A61" w14:textId="77777777" w:rsidR="00E2727D" w:rsidRPr="00CD5E8A" w:rsidRDefault="00E2727D" w:rsidP="00CD5E8A">
      <w:pPr>
        <w:pStyle w:val="Heading1"/>
        <w:numPr>
          <w:ilvl w:val="1"/>
          <w:numId w:val="33"/>
        </w:numPr>
        <w:rPr>
          <w:b w:val="0"/>
          <w:sz w:val="22"/>
          <w:szCs w:val="22"/>
        </w:rPr>
      </w:pPr>
      <w:r w:rsidRPr="00CD5E8A">
        <w:rPr>
          <w:b w:val="0"/>
          <w:sz w:val="22"/>
          <w:szCs w:val="22"/>
        </w:rPr>
        <w:t xml:space="preserve">In the event of a conflict between the Response and this SOW, the SOW prevails. </w:t>
      </w:r>
    </w:p>
    <w:p w14:paraId="08FA9F80" w14:textId="75A44622" w:rsidR="00E2727D" w:rsidRDefault="00E2727D" w:rsidP="00E2727D">
      <w:pPr>
        <w:ind w:firstLine="720"/>
        <w:rPr>
          <w:b/>
          <w:szCs w:val="22"/>
        </w:rPr>
      </w:pPr>
    </w:p>
    <w:p w14:paraId="001BC545" w14:textId="77777777" w:rsidR="00F36DD0" w:rsidRPr="00F36DD0" w:rsidRDefault="00F36DD0" w:rsidP="00F36DD0">
      <w:pPr>
        <w:keepNext/>
        <w:spacing w:after="120"/>
        <w:ind w:right="-360"/>
      </w:pPr>
      <w:r w:rsidRPr="00F36DD0">
        <w:rPr>
          <w:b/>
          <w:i/>
        </w:rPr>
        <w:t>In Witness Whereof</w:t>
      </w:r>
      <w:r w:rsidRPr="00F36DD0">
        <w:t xml:space="preserve">, the Parties hereto, having read this Statement of Work to Contract Number </w:t>
      </w:r>
      <w:proofErr w:type="spellStart"/>
      <w:r w:rsidRPr="00F36DD0">
        <w:rPr>
          <w:i/>
          <w:color w:val="FF0000"/>
        </w:rPr>
        <w:t>xxxxxxxxxxxxxxxxxx</w:t>
      </w:r>
      <w:proofErr w:type="spellEnd"/>
      <w:r w:rsidRPr="00F36DD0">
        <w:rPr>
          <w:i/>
        </w:rPr>
        <w:t xml:space="preserve"> </w:t>
      </w:r>
      <w:r w:rsidRPr="00F36DD0">
        <w:t xml:space="preserve">in its entirety, do agree thereto in </w:t>
      </w:r>
      <w:proofErr w:type="gramStart"/>
      <w:r w:rsidRPr="00F36DD0">
        <w:t>each and every</w:t>
      </w:r>
      <w:proofErr w:type="gramEnd"/>
      <w:r w:rsidRPr="00F36DD0">
        <w:t xml:space="preserve"> particular.</w:t>
      </w:r>
    </w:p>
    <w:tbl>
      <w:tblPr>
        <w:tblW w:w="0" w:type="auto"/>
        <w:tblLayout w:type="fixed"/>
        <w:tblLook w:val="0000" w:firstRow="0" w:lastRow="0" w:firstColumn="0" w:lastColumn="0" w:noHBand="0" w:noVBand="0"/>
      </w:tblPr>
      <w:tblGrid>
        <w:gridCol w:w="450"/>
        <w:gridCol w:w="4068"/>
        <w:gridCol w:w="450"/>
        <w:gridCol w:w="72"/>
        <w:gridCol w:w="4518"/>
      </w:tblGrid>
      <w:tr w:rsidR="00F36DD0" w:rsidRPr="00F36DD0" w14:paraId="3FABBEE9" w14:textId="77777777" w:rsidTr="009E6364">
        <w:tc>
          <w:tcPr>
            <w:tcW w:w="4518" w:type="dxa"/>
            <w:gridSpan w:val="2"/>
          </w:tcPr>
          <w:p w14:paraId="446B867D" w14:textId="77777777" w:rsidR="00F36DD0" w:rsidRPr="00F36DD0" w:rsidRDefault="00F36DD0" w:rsidP="00F36DD0">
            <w:pPr>
              <w:rPr>
                <w:b/>
              </w:rPr>
            </w:pPr>
          </w:p>
          <w:p w14:paraId="6C133982" w14:textId="77777777" w:rsidR="00F36DD0" w:rsidRPr="00F36DD0" w:rsidRDefault="00F36DD0" w:rsidP="00F36DD0">
            <w:pPr>
              <w:rPr>
                <w:b/>
              </w:rPr>
            </w:pPr>
          </w:p>
          <w:p w14:paraId="38921F1F" w14:textId="77777777" w:rsidR="00F36DD0" w:rsidRPr="00F36DD0" w:rsidRDefault="00F36DD0" w:rsidP="00F36DD0">
            <w:pPr>
              <w:rPr>
                <w:b/>
                <w:i/>
              </w:rPr>
            </w:pPr>
            <w:r w:rsidRPr="00F36DD0">
              <w:rPr>
                <w:b/>
              </w:rPr>
              <w:t>Approved</w:t>
            </w:r>
          </w:p>
        </w:tc>
        <w:tc>
          <w:tcPr>
            <w:tcW w:w="450" w:type="dxa"/>
          </w:tcPr>
          <w:p w14:paraId="58C0BB82" w14:textId="77777777" w:rsidR="00F36DD0" w:rsidRPr="00F36DD0" w:rsidRDefault="00F36DD0" w:rsidP="00F36DD0">
            <w:pPr>
              <w:rPr>
                <w:b/>
                <w:i/>
              </w:rPr>
            </w:pPr>
          </w:p>
        </w:tc>
        <w:tc>
          <w:tcPr>
            <w:tcW w:w="4590" w:type="dxa"/>
            <w:gridSpan w:val="2"/>
          </w:tcPr>
          <w:p w14:paraId="74E63C7F" w14:textId="77777777" w:rsidR="00F36DD0" w:rsidRPr="00F36DD0" w:rsidRDefault="00F36DD0" w:rsidP="00F36DD0">
            <w:pPr>
              <w:rPr>
                <w:b/>
                <w:i/>
              </w:rPr>
            </w:pPr>
          </w:p>
        </w:tc>
      </w:tr>
      <w:tr w:rsidR="00F36DD0" w:rsidRPr="00F36DD0" w14:paraId="38075F65" w14:textId="77777777" w:rsidTr="009E6364">
        <w:tc>
          <w:tcPr>
            <w:tcW w:w="4518" w:type="dxa"/>
            <w:gridSpan w:val="2"/>
          </w:tcPr>
          <w:p w14:paraId="3AC7C457" w14:textId="77777777" w:rsidR="00F36DD0" w:rsidRPr="00F36DD0" w:rsidRDefault="00F36DD0" w:rsidP="00F36DD0">
            <w:pPr>
              <w:rPr>
                <w:b/>
                <w:i/>
              </w:rPr>
            </w:pPr>
          </w:p>
        </w:tc>
        <w:tc>
          <w:tcPr>
            <w:tcW w:w="450" w:type="dxa"/>
          </w:tcPr>
          <w:p w14:paraId="1CC41353" w14:textId="77777777" w:rsidR="00F36DD0" w:rsidRPr="00F36DD0" w:rsidRDefault="00F36DD0" w:rsidP="00F36DD0">
            <w:pPr>
              <w:rPr>
                <w:b/>
                <w:i/>
              </w:rPr>
            </w:pPr>
          </w:p>
        </w:tc>
        <w:tc>
          <w:tcPr>
            <w:tcW w:w="4590" w:type="dxa"/>
            <w:gridSpan w:val="2"/>
          </w:tcPr>
          <w:p w14:paraId="29262933" w14:textId="77777777" w:rsidR="00F36DD0" w:rsidRPr="00F36DD0" w:rsidRDefault="00F36DD0" w:rsidP="00F36DD0">
            <w:pPr>
              <w:rPr>
                <w:b/>
                <w:i/>
              </w:rPr>
            </w:pPr>
          </w:p>
        </w:tc>
      </w:tr>
      <w:tr w:rsidR="00F36DD0" w:rsidRPr="00F36DD0" w14:paraId="62CAA9F5" w14:textId="77777777" w:rsidTr="009E6364">
        <w:trPr>
          <w:gridAfter w:val="1"/>
          <w:wAfter w:w="4518" w:type="dxa"/>
          <w:trHeight w:val="369"/>
        </w:trPr>
        <w:tc>
          <w:tcPr>
            <w:tcW w:w="450" w:type="dxa"/>
          </w:tcPr>
          <w:p w14:paraId="0DE385AE" w14:textId="77777777" w:rsidR="00F36DD0" w:rsidRPr="00F36DD0" w:rsidRDefault="00F36DD0" w:rsidP="00F36DD0">
            <w:pPr>
              <w:rPr>
                <w:b/>
                <w:i/>
              </w:rPr>
            </w:pPr>
          </w:p>
        </w:tc>
        <w:tc>
          <w:tcPr>
            <w:tcW w:w="4590" w:type="dxa"/>
            <w:gridSpan w:val="3"/>
          </w:tcPr>
          <w:p w14:paraId="6C8C0B79" w14:textId="77777777" w:rsidR="00F36DD0" w:rsidRPr="00F36DD0" w:rsidRDefault="00F36DD0" w:rsidP="00F36DD0">
            <w:pPr>
              <w:rPr>
                <w:b/>
              </w:rPr>
            </w:pPr>
          </w:p>
          <w:p w14:paraId="53A101B0" w14:textId="77777777" w:rsidR="00F36DD0" w:rsidRPr="00F36DD0" w:rsidRDefault="00F36DD0" w:rsidP="00F36DD0">
            <w:pPr>
              <w:rPr>
                <w:b/>
              </w:rPr>
            </w:pPr>
          </w:p>
        </w:tc>
      </w:tr>
      <w:tr w:rsidR="00F36DD0" w:rsidRPr="00F36DD0" w14:paraId="7042D964" w14:textId="77777777" w:rsidTr="009E6364">
        <w:trPr>
          <w:gridAfter w:val="1"/>
          <w:wAfter w:w="4518" w:type="dxa"/>
        </w:trPr>
        <w:tc>
          <w:tcPr>
            <w:tcW w:w="450" w:type="dxa"/>
          </w:tcPr>
          <w:p w14:paraId="13E700DC" w14:textId="77777777" w:rsidR="00F36DD0" w:rsidRPr="00F36DD0" w:rsidRDefault="00F36DD0" w:rsidP="00F36DD0">
            <w:pPr>
              <w:rPr>
                <w:i/>
                <w:iCs/>
                <w:sz w:val="18"/>
              </w:rPr>
            </w:pPr>
          </w:p>
        </w:tc>
        <w:tc>
          <w:tcPr>
            <w:tcW w:w="4590" w:type="dxa"/>
            <w:gridSpan w:val="3"/>
            <w:tcBorders>
              <w:top w:val="single" w:sz="12" w:space="0" w:color="auto"/>
            </w:tcBorders>
          </w:tcPr>
          <w:p w14:paraId="2018BE22" w14:textId="77777777" w:rsidR="00F36DD0" w:rsidRPr="00F36DD0" w:rsidRDefault="00F36DD0" w:rsidP="00F36DD0">
            <w:pPr>
              <w:rPr>
                <w:i/>
                <w:iCs/>
                <w:sz w:val="18"/>
              </w:rPr>
            </w:pPr>
            <w:r w:rsidRPr="00F36DD0">
              <w:rPr>
                <w:i/>
                <w:iCs/>
                <w:sz w:val="18"/>
              </w:rPr>
              <w:t>Signature</w:t>
            </w:r>
          </w:p>
        </w:tc>
      </w:tr>
      <w:tr w:rsidR="00F36DD0" w:rsidRPr="00F36DD0" w14:paraId="6A437917" w14:textId="77777777" w:rsidTr="009E6364">
        <w:trPr>
          <w:gridAfter w:val="1"/>
          <w:wAfter w:w="4518" w:type="dxa"/>
          <w:trHeight w:val="360"/>
        </w:trPr>
        <w:tc>
          <w:tcPr>
            <w:tcW w:w="450" w:type="dxa"/>
          </w:tcPr>
          <w:p w14:paraId="4F9AD6A0" w14:textId="77777777" w:rsidR="00F36DD0" w:rsidRPr="00F36DD0" w:rsidRDefault="00F36DD0" w:rsidP="00F36DD0">
            <w:pPr>
              <w:rPr>
                <w:b/>
                <w:i/>
                <w:iCs/>
                <w:sz w:val="18"/>
              </w:rPr>
            </w:pPr>
          </w:p>
        </w:tc>
        <w:tc>
          <w:tcPr>
            <w:tcW w:w="4590" w:type="dxa"/>
            <w:gridSpan w:val="3"/>
          </w:tcPr>
          <w:p w14:paraId="0228975D" w14:textId="77777777" w:rsidR="00F36DD0" w:rsidRPr="00F36DD0" w:rsidRDefault="00F36DD0" w:rsidP="00F36DD0">
            <w:pPr>
              <w:rPr>
                <w:b/>
                <w:i/>
                <w:iCs/>
                <w:sz w:val="18"/>
              </w:rPr>
            </w:pPr>
          </w:p>
        </w:tc>
      </w:tr>
      <w:tr w:rsidR="00F36DD0" w:rsidRPr="00F36DD0" w14:paraId="793CE536" w14:textId="77777777" w:rsidTr="009E6364">
        <w:trPr>
          <w:gridAfter w:val="1"/>
          <w:wAfter w:w="4518" w:type="dxa"/>
          <w:trHeight w:val="600"/>
        </w:trPr>
        <w:tc>
          <w:tcPr>
            <w:tcW w:w="450" w:type="dxa"/>
          </w:tcPr>
          <w:p w14:paraId="39894AF0" w14:textId="77777777" w:rsidR="00F36DD0" w:rsidRPr="00F36DD0" w:rsidRDefault="00F36DD0" w:rsidP="00F36DD0">
            <w:pPr>
              <w:rPr>
                <w:b/>
                <w:i/>
                <w:iCs/>
                <w:sz w:val="18"/>
              </w:rPr>
            </w:pPr>
          </w:p>
        </w:tc>
        <w:tc>
          <w:tcPr>
            <w:tcW w:w="4590" w:type="dxa"/>
            <w:gridSpan w:val="3"/>
            <w:tcBorders>
              <w:top w:val="single" w:sz="12" w:space="0" w:color="auto"/>
              <w:bottom w:val="single" w:sz="12" w:space="0" w:color="auto"/>
            </w:tcBorders>
          </w:tcPr>
          <w:p w14:paraId="630CB306" w14:textId="77777777" w:rsidR="00F36DD0" w:rsidRPr="00F36DD0" w:rsidRDefault="00F36DD0" w:rsidP="00F36DD0">
            <w:pPr>
              <w:rPr>
                <w:b/>
                <w:i/>
                <w:iCs/>
                <w:sz w:val="18"/>
              </w:rPr>
            </w:pPr>
            <w:r w:rsidRPr="00F36DD0">
              <w:rPr>
                <w:i/>
                <w:iCs/>
                <w:sz w:val="18"/>
              </w:rPr>
              <w:t>Print or Type Name</w:t>
            </w:r>
          </w:p>
        </w:tc>
      </w:tr>
      <w:tr w:rsidR="00F36DD0" w:rsidRPr="00F36DD0" w14:paraId="261D2849" w14:textId="77777777" w:rsidTr="009E6364">
        <w:trPr>
          <w:gridAfter w:val="1"/>
          <w:wAfter w:w="4518" w:type="dxa"/>
          <w:trHeight w:val="159"/>
        </w:trPr>
        <w:tc>
          <w:tcPr>
            <w:tcW w:w="450" w:type="dxa"/>
          </w:tcPr>
          <w:p w14:paraId="3032485F" w14:textId="77777777" w:rsidR="00F36DD0" w:rsidRPr="00F36DD0" w:rsidRDefault="00F36DD0" w:rsidP="00F36DD0">
            <w:pPr>
              <w:rPr>
                <w:b/>
                <w:i/>
                <w:iCs/>
                <w:sz w:val="18"/>
              </w:rPr>
            </w:pPr>
          </w:p>
        </w:tc>
        <w:tc>
          <w:tcPr>
            <w:tcW w:w="4590" w:type="dxa"/>
            <w:gridSpan w:val="3"/>
          </w:tcPr>
          <w:p w14:paraId="140F32D1" w14:textId="77777777" w:rsidR="00F36DD0" w:rsidRPr="00F36DD0" w:rsidRDefault="00F36DD0" w:rsidP="00F36DD0">
            <w:pPr>
              <w:rPr>
                <w:i/>
                <w:iCs/>
                <w:sz w:val="18"/>
              </w:rPr>
            </w:pPr>
            <w:r w:rsidRPr="00F36DD0">
              <w:rPr>
                <w:i/>
                <w:iCs/>
                <w:sz w:val="18"/>
              </w:rPr>
              <w:t>Title</w:t>
            </w:r>
            <w:r w:rsidRPr="00F36DD0">
              <w:rPr>
                <w:i/>
                <w:iCs/>
                <w:sz w:val="18"/>
              </w:rPr>
              <w:tab/>
              <w:t xml:space="preserve">                                                                      Date</w:t>
            </w:r>
          </w:p>
        </w:tc>
      </w:tr>
    </w:tbl>
    <w:p w14:paraId="479F4060" w14:textId="77777777" w:rsidR="00F36DD0" w:rsidRPr="00F36DD0" w:rsidRDefault="00F36DD0" w:rsidP="00F36DD0">
      <w:pPr>
        <w:ind w:right="360"/>
      </w:pPr>
    </w:p>
    <w:p w14:paraId="43758422" w14:textId="77777777" w:rsidR="00F36DD0" w:rsidRPr="00F36DD0" w:rsidRDefault="00F36DD0" w:rsidP="00F36DD0">
      <w:pPr>
        <w:spacing w:before="240" w:after="60"/>
        <w:rPr>
          <w:kern w:val="28"/>
          <w:sz w:val="32"/>
        </w:rPr>
      </w:pPr>
      <w:r w:rsidRPr="00F36DD0">
        <w:rPr>
          <w:kern w:val="28"/>
          <w:sz w:val="32"/>
        </w:rPr>
        <w:t>Exhibit 1</w:t>
      </w:r>
    </w:p>
    <w:p w14:paraId="0E5ADD5A" w14:textId="77777777" w:rsidR="00F36DD0" w:rsidRPr="00F36DD0" w:rsidRDefault="00F36DD0" w:rsidP="00F36DD0">
      <w:pPr>
        <w:ind w:right="360"/>
      </w:pPr>
      <w:r w:rsidRPr="00F36DD0">
        <w:t>SOW Site Purchases</w:t>
      </w:r>
    </w:p>
    <w:p w14:paraId="4EEA86BC" w14:textId="77777777" w:rsidR="00F36DD0" w:rsidRPr="00F36DD0" w:rsidRDefault="00F36DD0" w:rsidP="00F36DD0">
      <w:pPr>
        <w:ind w:firstLine="720"/>
        <w:rPr>
          <w:b/>
        </w:rPr>
      </w:pPr>
    </w:p>
    <w:p w14:paraId="163FA740" w14:textId="77777777" w:rsidR="00F36DD0" w:rsidRPr="00F36DD0" w:rsidRDefault="00F36DD0" w:rsidP="00F36DD0">
      <w:pPr>
        <w:rPr>
          <w:b/>
        </w:rPr>
      </w:pPr>
      <w:r w:rsidRPr="00F36DD0">
        <w:rPr>
          <w:b/>
        </w:rPr>
        <w:t>Current Example:</w:t>
      </w:r>
    </w:p>
    <w:tbl>
      <w:tblPr>
        <w:tblW w:w="6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260"/>
        <w:gridCol w:w="1464"/>
        <w:gridCol w:w="1107"/>
        <w:gridCol w:w="1085"/>
      </w:tblGrid>
      <w:tr w:rsidR="00F36DD0" w:rsidRPr="00F36DD0" w14:paraId="4C6F5B26" w14:textId="77777777" w:rsidTr="00F36DD0">
        <w:trPr>
          <w:trHeight w:val="330"/>
        </w:trPr>
        <w:tc>
          <w:tcPr>
            <w:tcW w:w="1417" w:type="dxa"/>
            <w:vAlign w:val="center"/>
            <w:hideMark/>
          </w:tcPr>
          <w:p w14:paraId="23000AA2" w14:textId="4FC48BCF" w:rsidR="00F36DD0" w:rsidRPr="00F36DD0" w:rsidRDefault="008A07E6" w:rsidP="00F36DD0">
            <w:pPr>
              <w:jc w:val="center"/>
              <w:rPr>
                <w:rFonts w:ascii="Arial" w:hAnsi="Arial" w:cs="Arial"/>
                <w:b/>
                <w:sz w:val="20"/>
              </w:rPr>
            </w:pPr>
            <w:r>
              <w:rPr>
                <w:rFonts w:ascii="Arial" w:hAnsi="Arial" w:cs="Arial"/>
                <w:b/>
                <w:sz w:val="20"/>
              </w:rPr>
              <w:t>WaTech</w:t>
            </w:r>
            <w:r w:rsidR="00F36DD0" w:rsidRPr="00F36DD0">
              <w:rPr>
                <w:rFonts w:ascii="Arial" w:hAnsi="Arial" w:cs="Arial"/>
                <w:b/>
                <w:sz w:val="20"/>
              </w:rPr>
              <w:t xml:space="preserve"> User Site</w:t>
            </w:r>
          </w:p>
        </w:tc>
        <w:tc>
          <w:tcPr>
            <w:tcW w:w="1260" w:type="dxa"/>
            <w:vAlign w:val="center"/>
            <w:hideMark/>
          </w:tcPr>
          <w:p w14:paraId="53A4AE29" w14:textId="77777777" w:rsidR="00F36DD0" w:rsidRPr="00F36DD0" w:rsidRDefault="00F36DD0" w:rsidP="00F36DD0">
            <w:pPr>
              <w:jc w:val="center"/>
              <w:rPr>
                <w:rFonts w:ascii="Arial" w:hAnsi="Arial" w:cs="Arial"/>
                <w:b/>
                <w:sz w:val="20"/>
              </w:rPr>
            </w:pPr>
            <w:r w:rsidRPr="00F36DD0">
              <w:rPr>
                <w:rFonts w:ascii="Arial" w:hAnsi="Arial" w:cs="Arial"/>
                <w:b/>
                <w:sz w:val="20"/>
              </w:rPr>
              <w:t>Address</w:t>
            </w:r>
          </w:p>
        </w:tc>
        <w:tc>
          <w:tcPr>
            <w:tcW w:w="1464" w:type="dxa"/>
            <w:vAlign w:val="center"/>
            <w:hideMark/>
          </w:tcPr>
          <w:p w14:paraId="6FBA3568" w14:textId="77777777" w:rsidR="00F36DD0" w:rsidRPr="00F36DD0" w:rsidRDefault="00F36DD0" w:rsidP="00F36DD0">
            <w:pPr>
              <w:jc w:val="center"/>
              <w:rPr>
                <w:rFonts w:ascii="Arial" w:hAnsi="Arial" w:cs="Arial"/>
                <w:b/>
                <w:sz w:val="20"/>
              </w:rPr>
            </w:pPr>
            <w:r w:rsidRPr="00F36DD0">
              <w:rPr>
                <w:rFonts w:ascii="Arial" w:hAnsi="Arial" w:cs="Arial"/>
                <w:b/>
                <w:sz w:val="20"/>
              </w:rPr>
              <w:t>City</w:t>
            </w:r>
          </w:p>
        </w:tc>
        <w:tc>
          <w:tcPr>
            <w:tcW w:w="1107" w:type="dxa"/>
            <w:vAlign w:val="center"/>
          </w:tcPr>
          <w:p w14:paraId="01FEFC8C" w14:textId="77777777" w:rsidR="00F36DD0" w:rsidRPr="00F36DD0" w:rsidRDefault="00F36DD0" w:rsidP="00F36DD0">
            <w:pPr>
              <w:jc w:val="center"/>
              <w:rPr>
                <w:rFonts w:ascii="Arial" w:hAnsi="Arial" w:cs="Arial"/>
                <w:b/>
                <w:sz w:val="20"/>
              </w:rPr>
            </w:pPr>
            <w:r w:rsidRPr="00F36DD0">
              <w:rPr>
                <w:rFonts w:ascii="Arial" w:hAnsi="Arial" w:cs="Arial"/>
                <w:b/>
                <w:sz w:val="20"/>
              </w:rPr>
              <w:t>MRC</w:t>
            </w:r>
          </w:p>
        </w:tc>
        <w:tc>
          <w:tcPr>
            <w:tcW w:w="1085" w:type="dxa"/>
            <w:vAlign w:val="center"/>
          </w:tcPr>
          <w:p w14:paraId="2E2B4128" w14:textId="77777777" w:rsidR="00F36DD0" w:rsidRPr="00F36DD0" w:rsidRDefault="00F36DD0" w:rsidP="00F36DD0">
            <w:pPr>
              <w:jc w:val="center"/>
              <w:rPr>
                <w:rFonts w:ascii="Arial" w:hAnsi="Arial" w:cs="Arial"/>
                <w:b/>
                <w:sz w:val="20"/>
              </w:rPr>
            </w:pPr>
            <w:r w:rsidRPr="00F36DD0">
              <w:rPr>
                <w:rFonts w:ascii="Arial" w:hAnsi="Arial" w:cs="Arial"/>
                <w:b/>
                <w:sz w:val="20"/>
              </w:rPr>
              <w:t>NRC</w:t>
            </w:r>
          </w:p>
        </w:tc>
      </w:tr>
      <w:tr w:rsidR="00F36DD0" w:rsidRPr="00F36DD0" w14:paraId="1878F17A" w14:textId="77777777" w:rsidTr="00F36DD0">
        <w:trPr>
          <w:trHeight w:val="330"/>
        </w:trPr>
        <w:tc>
          <w:tcPr>
            <w:tcW w:w="1417" w:type="dxa"/>
            <w:vAlign w:val="center"/>
            <w:hideMark/>
          </w:tcPr>
          <w:p w14:paraId="67089373" w14:textId="77777777" w:rsidR="00F36DD0" w:rsidRPr="00F36DD0" w:rsidRDefault="00F36DD0" w:rsidP="00F36DD0">
            <w:pPr>
              <w:jc w:val="center"/>
              <w:rPr>
                <w:rFonts w:ascii="Arial" w:hAnsi="Arial" w:cs="Arial"/>
                <w:sz w:val="20"/>
              </w:rPr>
            </w:pPr>
            <w:proofErr w:type="spellStart"/>
            <w:r w:rsidRPr="00F36DD0">
              <w:rPr>
                <w:rFonts w:ascii="Arial" w:hAnsi="Arial" w:cs="Arial"/>
                <w:sz w:val="20"/>
              </w:rPr>
              <w:t>AgencyXXXX</w:t>
            </w:r>
            <w:proofErr w:type="spellEnd"/>
          </w:p>
        </w:tc>
        <w:tc>
          <w:tcPr>
            <w:tcW w:w="1260" w:type="dxa"/>
            <w:vAlign w:val="center"/>
            <w:hideMark/>
          </w:tcPr>
          <w:p w14:paraId="4F0D8A07" w14:textId="77777777" w:rsidR="00F36DD0" w:rsidRPr="00F36DD0" w:rsidRDefault="00F36DD0" w:rsidP="00F36DD0">
            <w:pPr>
              <w:jc w:val="center"/>
              <w:rPr>
                <w:rFonts w:ascii="Arial" w:hAnsi="Arial" w:cs="Arial"/>
                <w:sz w:val="20"/>
              </w:rPr>
            </w:pPr>
            <w:r w:rsidRPr="00F36DD0">
              <w:rPr>
                <w:rFonts w:ascii="Arial" w:hAnsi="Arial" w:cs="Arial"/>
                <w:sz w:val="20"/>
              </w:rPr>
              <w:t>1234 W 1</w:t>
            </w:r>
            <w:r w:rsidRPr="00F36DD0">
              <w:rPr>
                <w:rFonts w:ascii="Arial" w:hAnsi="Arial" w:cs="Arial"/>
                <w:sz w:val="20"/>
                <w:vertAlign w:val="superscript"/>
              </w:rPr>
              <w:t>st</w:t>
            </w:r>
            <w:r w:rsidRPr="00F36DD0">
              <w:rPr>
                <w:rFonts w:ascii="Arial" w:hAnsi="Arial" w:cs="Arial"/>
                <w:sz w:val="20"/>
              </w:rPr>
              <w:t xml:space="preserve"> Street</w:t>
            </w:r>
          </w:p>
        </w:tc>
        <w:tc>
          <w:tcPr>
            <w:tcW w:w="1464" w:type="dxa"/>
            <w:vAlign w:val="center"/>
            <w:hideMark/>
          </w:tcPr>
          <w:p w14:paraId="557513EC" w14:textId="77777777" w:rsidR="00F36DD0" w:rsidRPr="00F36DD0" w:rsidRDefault="00F36DD0" w:rsidP="00F36DD0">
            <w:pPr>
              <w:jc w:val="center"/>
              <w:rPr>
                <w:rFonts w:ascii="Arial" w:hAnsi="Arial" w:cs="Arial"/>
                <w:sz w:val="20"/>
              </w:rPr>
            </w:pPr>
            <w:r w:rsidRPr="00F36DD0">
              <w:rPr>
                <w:rFonts w:ascii="Arial" w:hAnsi="Arial" w:cs="Arial"/>
                <w:sz w:val="20"/>
              </w:rPr>
              <w:t>City Name</w:t>
            </w:r>
          </w:p>
        </w:tc>
        <w:tc>
          <w:tcPr>
            <w:tcW w:w="1107" w:type="dxa"/>
            <w:vAlign w:val="center"/>
          </w:tcPr>
          <w:p w14:paraId="65412387" w14:textId="77777777" w:rsidR="00F36DD0" w:rsidRPr="00F36DD0" w:rsidRDefault="00F36DD0" w:rsidP="00F36DD0">
            <w:pPr>
              <w:jc w:val="center"/>
              <w:rPr>
                <w:rFonts w:ascii="Arial" w:hAnsi="Arial" w:cs="Arial"/>
                <w:sz w:val="20"/>
              </w:rPr>
            </w:pPr>
            <w:r w:rsidRPr="00F36DD0">
              <w:rPr>
                <w:rFonts w:ascii="Arial" w:hAnsi="Arial" w:cs="Arial"/>
                <w:sz w:val="20"/>
              </w:rPr>
              <w:t>$750.00</w:t>
            </w:r>
          </w:p>
        </w:tc>
        <w:tc>
          <w:tcPr>
            <w:tcW w:w="1085" w:type="dxa"/>
            <w:vAlign w:val="center"/>
          </w:tcPr>
          <w:p w14:paraId="0EFCEF67" w14:textId="77777777" w:rsidR="00F36DD0" w:rsidRPr="00F36DD0" w:rsidRDefault="00F36DD0" w:rsidP="00F36DD0">
            <w:pPr>
              <w:jc w:val="center"/>
              <w:rPr>
                <w:rFonts w:ascii="Arial" w:hAnsi="Arial" w:cs="Arial"/>
                <w:sz w:val="20"/>
              </w:rPr>
            </w:pPr>
            <w:r w:rsidRPr="00F36DD0">
              <w:rPr>
                <w:rFonts w:ascii="Arial" w:hAnsi="Arial" w:cs="Arial"/>
                <w:sz w:val="20"/>
              </w:rPr>
              <w:t>$0</w:t>
            </w:r>
          </w:p>
        </w:tc>
      </w:tr>
    </w:tbl>
    <w:p w14:paraId="72D48B7E" w14:textId="77777777" w:rsidR="00F36DD0" w:rsidRPr="00F36DD0" w:rsidRDefault="00F36DD0" w:rsidP="00F36DD0">
      <w:pPr>
        <w:ind w:firstLine="720"/>
        <w:rPr>
          <w:b/>
        </w:rPr>
      </w:pPr>
    </w:p>
    <w:p w14:paraId="5EF84720" w14:textId="77777777" w:rsidR="00F36DD0" w:rsidRPr="00F36DD0" w:rsidRDefault="00F36DD0" w:rsidP="00F36DD0">
      <w:pPr>
        <w:spacing w:before="240" w:after="60"/>
        <w:rPr>
          <w:kern w:val="28"/>
          <w:sz w:val="32"/>
        </w:rPr>
      </w:pPr>
      <w:r w:rsidRPr="00F36DD0">
        <w:rPr>
          <w:kern w:val="28"/>
          <w:sz w:val="32"/>
        </w:rPr>
        <w:t>Exhibit 2</w:t>
      </w:r>
    </w:p>
    <w:p w14:paraId="75CD7542" w14:textId="6DC65A47" w:rsidR="00F36DD0" w:rsidRPr="00F36DD0" w:rsidRDefault="00F36DD0" w:rsidP="00F36DD0">
      <w:pPr>
        <w:ind w:right="360"/>
      </w:pPr>
      <w:r w:rsidRPr="00F36DD0">
        <w:t xml:space="preserve">Contractor Response to </w:t>
      </w:r>
      <w:r w:rsidR="008A07E6">
        <w:t>WaTech</w:t>
      </w:r>
      <w:r w:rsidRPr="00F36DD0">
        <w:t xml:space="preserve"> Procurement Number ------------</w:t>
      </w:r>
    </w:p>
    <w:p w14:paraId="66184EA0" w14:textId="77777777" w:rsidR="00F36DD0" w:rsidRPr="00F36DD0" w:rsidRDefault="00F36DD0" w:rsidP="00F36DD0">
      <w:pPr>
        <w:spacing w:before="240" w:after="60"/>
        <w:ind w:left="720"/>
        <w:jc w:val="center"/>
        <w:rPr>
          <w:kern w:val="28"/>
          <w:sz w:val="32"/>
        </w:rPr>
      </w:pPr>
    </w:p>
    <w:p w14:paraId="4D8D2E76" w14:textId="77777777" w:rsidR="00F36DD0" w:rsidRPr="00F36DD0" w:rsidRDefault="00F36DD0" w:rsidP="00F36DD0">
      <w:pPr>
        <w:ind w:right="90"/>
        <w:rPr>
          <w:b/>
        </w:rPr>
      </w:pPr>
    </w:p>
    <w:p w14:paraId="3C3C32A5" w14:textId="77777777" w:rsidR="00F36DD0" w:rsidRPr="00F36DD0" w:rsidRDefault="00F36DD0" w:rsidP="00F36DD0">
      <w:pPr>
        <w:ind w:right="90"/>
        <w:rPr>
          <w:sz w:val="32"/>
          <w:szCs w:val="32"/>
        </w:rPr>
      </w:pPr>
      <w:r w:rsidRPr="00F36DD0">
        <w:rPr>
          <w:sz w:val="32"/>
          <w:szCs w:val="32"/>
        </w:rPr>
        <w:t>Exhibit 3</w:t>
      </w:r>
    </w:p>
    <w:p w14:paraId="6C6FAC3F" w14:textId="77777777" w:rsidR="00F36DD0" w:rsidRPr="00F36DD0" w:rsidRDefault="00F36DD0" w:rsidP="00F36DD0">
      <w:pPr>
        <w:ind w:right="90"/>
      </w:pPr>
      <w:r w:rsidRPr="00F36DD0">
        <w:t xml:space="preserve">Ethernet Tech Order </w:t>
      </w:r>
    </w:p>
    <w:p w14:paraId="132FD198" w14:textId="77777777" w:rsidR="00F36DD0" w:rsidRPr="00F36DD0" w:rsidRDefault="00F36DD0" w:rsidP="00F36DD0">
      <w:pPr>
        <w:ind w:right="90"/>
      </w:pPr>
    </w:p>
    <w:p w14:paraId="2C886C7E" w14:textId="77777777" w:rsidR="00F36DD0" w:rsidRPr="00F36DD0" w:rsidRDefault="00F36DD0" w:rsidP="00F36DD0"/>
    <w:p w14:paraId="3A2387C1" w14:textId="77777777" w:rsidR="00F36DD0" w:rsidRPr="00CD5E8A" w:rsidRDefault="00F36DD0" w:rsidP="00E2727D">
      <w:pPr>
        <w:ind w:firstLine="720"/>
        <w:rPr>
          <w:b/>
          <w:szCs w:val="22"/>
        </w:rPr>
      </w:pPr>
    </w:p>
    <w:sectPr w:rsidR="00F36DD0" w:rsidRPr="00CD5E8A" w:rsidSect="00AE68C7">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FFA41" w14:textId="77777777" w:rsidR="004F22BD" w:rsidRDefault="004F22BD" w:rsidP="004F22BD">
      <w:r>
        <w:separator/>
      </w:r>
    </w:p>
  </w:endnote>
  <w:endnote w:type="continuationSeparator" w:id="0">
    <w:p w14:paraId="0A918919" w14:textId="77777777" w:rsidR="004F22BD" w:rsidRDefault="004F22BD" w:rsidP="004F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7415188"/>
      <w:docPartObj>
        <w:docPartGallery w:val="Page Numbers (Bottom of Page)"/>
        <w:docPartUnique/>
      </w:docPartObj>
    </w:sdtPr>
    <w:sdtEndPr>
      <w:rPr>
        <w:noProof/>
      </w:rPr>
    </w:sdtEndPr>
    <w:sdtContent>
      <w:p w14:paraId="4CBE119D" w14:textId="0F8FBA9D" w:rsidR="00AE68C7" w:rsidRPr="00AE68C7" w:rsidRDefault="00AE68C7" w:rsidP="00AE68C7">
        <w:pPr>
          <w:pStyle w:val="Footer"/>
          <w:pBdr>
            <w:top w:val="single" w:sz="4" w:space="1" w:color="auto"/>
          </w:pBdr>
          <w:tabs>
            <w:tab w:val="center" w:pos="5040"/>
          </w:tabs>
          <w:rPr>
            <w:i/>
            <w:noProof/>
            <w:sz w:val="20"/>
          </w:rPr>
        </w:pPr>
        <w:r w:rsidRPr="00AE68C7">
          <w:rPr>
            <w:noProof/>
            <w:sz w:val="20"/>
          </w:rPr>
          <w:t>State of Washington</w:t>
        </w:r>
        <w:r w:rsidRPr="00AE68C7">
          <w:rPr>
            <w:noProof/>
            <w:sz w:val="20"/>
          </w:rPr>
          <w:tab/>
        </w:r>
        <w:r>
          <w:rPr>
            <w:noProof/>
            <w:sz w:val="20"/>
          </w:rPr>
          <w:tab/>
        </w:r>
        <w:r w:rsidRPr="00AE68C7">
          <w:rPr>
            <w:noProof/>
            <w:sz w:val="20"/>
          </w:rPr>
          <w:tab/>
        </w:r>
        <w:r w:rsidR="00C15110">
          <w:rPr>
            <w:iCs/>
            <w:noProof/>
            <w:sz w:val="20"/>
          </w:rPr>
          <w:t>Network</w:t>
        </w:r>
        <w:r w:rsidRPr="00AE68C7">
          <w:rPr>
            <w:iCs/>
            <w:noProof/>
            <w:sz w:val="20"/>
          </w:rPr>
          <w:t xml:space="preserve"> Services Agreement </w:t>
        </w:r>
        <w:r w:rsidR="00D06FAC">
          <w:rPr>
            <w:iCs/>
            <w:noProof/>
            <w:sz w:val="20"/>
          </w:rPr>
          <w:t>2</w:t>
        </w:r>
        <w:r w:rsidR="008A07E6">
          <w:rPr>
            <w:iCs/>
            <w:noProof/>
            <w:sz w:val="20"/>
          </w:rPr>
          <w:t>5</w:t>
        </w:r>
        <w:r w:rsidR="002F79DA">
          <w:rPr>
            <w:iCs/>
            <w:noProof/>
            <w:sz w:val="20"/>
          </w:rPr>
          <w:t>-XXX</w:t>
        </w:r>
      </w:p>
      <w:p w14:paraId="1D7C98A9" w14:textId="2472C850" w:rsidR="00AE68C7" w:rsidRDefault="008A07E6" w:rsidP="004A724D">
        <w:pPr>
          <w:pBdr>
            <w:top w:val="single" w:sz="4" w:space="1" w:color="auto"/>
          </w:pBdr>
          <w:tabs>
            <w:tab w:val="center" w:pos="5040"/>
            <w:tab w:val="right" w:pos="9360"/>
          </w:tabs>
        </w:pPr>
        <w:r>
          <w:rPr>
            <w:noProof/>
            <w:sz w:val="20"/>
          </w:rPr>
          <w:t>Washington Technology Solutions</w:t>
        </w:r>
        <w:r w:rsidR="00AE68C7" w:rsidRPr="00AE68C7">
          <w:rPr>
            <w:noProof/>
            <w:sz w:val="20"/>
          </w:rPr>
          <w:tab/>
        </w:r>
        <w:r w:rsidR="00AE68C7" w:rsidRPr="00AE68C7">
          <w:rPr>
            <w:noProof/>
            <w:sz w:val="20"/>
          </w:rPr>
          <w:fldChar w:fldCharType="begin"/>
        </w:r>
        <w:r w:rsidR="00AE68C7" w:rsidRPr="00AE68C7">
          <w:rPr>
            <w:noProof/>
            <w:sz w:val="20"/>
          </w:rPr>
          <w:instrText xml:space="preserve"> PAGE </w:instrText>
        </w:r>
        <w:r w:rsidR="00AE68C7" w:rsidRPr="00AE68C7">
          <w:rPr>
            <w:noProof/>
            <w:sz w:val="20"/>
          </w:rPr>
          <w:fldChar w:fldCharType="separate"/>
        </w:r>
        <w:r w:rsidR="00EF4C3D">
          <w:rPr>
            <w:noProof/>
            <w:sz w:val="20"/>
          </w:rPr>
          <w:t>12</w:t>
        </w:r>
        <w:r w:rsidR="00AE68C7" w:rsidRPr="00AE68C7">
          <w:rPr>
            <w:noProof/>
            <w:sz w:val="20"/>
          </w:rPr>
          <w:fldChar w:fldCharType="end"/>
        </w:r>
        <w:r w:rsidR="00AE68C7" w:rsidRPr="00AE68C7">
          <w:rPr>
            <w:noProof/>
            <w:sz w:val="20"/>
          </w:rPr>
          <w:tab/>
        </w:r>
        <w:r w:rsidR="00D06FAC">
          <w:rPr>
            <w:noProof/>
            <w:sz w:val="20"/>
          </w:rPr>
          <w:t xml:space="preserve">Addendum 03 - </w:t>
        </w:r>
        <w:r w:rsidR="00AE68C7">
          <w:rPr>
            <w:noProof/>
            <w:sz w:val="20"/>
          </w:rPr>
          <w:t>PRI T-1 Voice</w:t>
        </w:r>
        <w:r w:rsidR="00AE68C7" w:rsidRPr="00AE68C7">
          <w:rPr>
            <w:noProof/>
            <w:sz w:val="20"/>
          </w:rPr>
          <w:t xml:space="preserve"> Services </w:t>
        </w:r>
        <w:r w:rsidR="00AE68C7">
          <w:rPr>
            <w:sz w:val="20"/>
          </w:rPr>
          <w:tab/>
        </w:r>
      </w:p>
    </w:sdtContent>
  </w:sdt>
  <w:p w14:paraId="5C7EB135" w14:textId="44FE4FA5" w:rsidR="00AE68C7" w:rsidRPr="004F22BD" w:rsidRDefault="00AE68C7" w:rsidP="00AE68C7">
    <w:pPr>
      <w:pStyle w:val="Footer"/>
      <w:tabs>
        <w:tab w:val="clear" w:pos="4680"/>
        <w:tab w:val="clear" w:pos="9360"/>
        <w:tab w:val="left" w:pos="2060"/>
        <w:tab w:val="left" w:pos="6680"/>
      </w:tabs>
      <w:rPr>
        <w:sz w:val="20"/>
      </w:rPr>
    </w:pPr>
    <w:r>
      <w:rPr>
        <w:sz w:val="20"/>
      </w:rPr>
      <w:tab/>
    </w: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E23BB" w14:textId="77777777" w:rsidR="004F22BD" w:rsidRDefault="004F22BD" w:rsidP="004F22BD">
      <w:r>
        <w:separator/>
      </w:r>
    </w:p>
  </w:footnote>
  <w:footnote w:type="continuationSeparator" w:id="0">
    <w:p w14:paraId="02FCC1EF" w14:textId="77777777" w:rsidR="004F22BD" w:rsidRDefault="004F22BD" w:rsidP="004F2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047E"/>
    <w:multiLevelType w:val="hybridMultilevel"/>
    <w:tmpl w:val="CBF03E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06B1720"/>
    <w:multiLevelType w:val="multilevel"/>
    <w:tmpl w:val="A606C38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D317F9"/>
    <w:multiLevelType w:val="multilevel"/>
    <w:tmpl w:val="8C32CD14"/>
    <w:lvl w:ilvl="0">
      <w:start w:val="14"/>
      <w:numFmt w:val="decimal"/>
      <w:lvlText w:val="%1."/>
      <w:lvlJc w:val="left"/>
      <w:pPr>
        <w:tabs>
          <w:tab w:val="num" w:pos="720"/>
        </w:tabs>
        <w:ind w:left="720" w:hanging="720"/>
      </w:pPr>
      <w:rPr>
        <w:rFonts w:hint="default"/>
      </w:rPr>
    </w:lvl>
    <w:lvl w:ilvl="1">
      <w:start w:val="4"/>
      <w:numFmt w:val="decimal"/>
      <w:lvlText w:val="%1.%2."/>
      <w:lvlJc w:val="left"/>
      <w:pPr>
        <w:tabs>
          <w:tab w:val="num" w:pos="2970"/>
        </w:tabs>
        <w:ind w:left="2970" w:hanging="720"/>
      </w:pPr>
      <w:rPr>
        <w:rFonts w:ascii="Times New Roman" w:hAnsi="Times New Roman" w:cs="Times New Roman" w:hint="default"/>
        <w:bCs w:val="0"/>
        <w:i w:val="0"/>
        <w:iCs w:val="0"/>
        <w:caps w:val="0"/>
        <w:smallCaps w:val="0"/>
        <w:strike w:val="0"/>
        <w:dstrike w:val="0"/>
        <w:vanish w:val="0"/>
        <w:color w:val="000000"/>
        <w:spacing w:val="0"/>
        <w:position w:val="0"/>
        <w:u w:val="none"/>
        <w:effect w:val="none"/>
        <w:vertAlign w:val="baseline"/>
        <w:em w:val="none"/>
      </w:rPr>
    </w:lvl>
    <w:lvl w:ilvl="2">
      <w:start w:val="1"/>
      <w:numFmt w:val="lowerLetter"/>
      <w:lvlText w:val="%3)"/>
      <w:lvlJc w:val="left"/>
      <w:pPr>
        <w:tabs>
          <w:tab w:val="num" w:pos="1890"/>
        </w:tabs>
        <w:ind w:left="1890" w:hanging="360"/>
      </w:pPr>
      <w:rPr>
        <w:rFonts w:hint="default"/>
        <w:i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61A11BE"/>
    <w:multiLevelType w:val="hybridMultilevel"/>
    <w:tmpl w:val="CBF03E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71289A"/>
    <w:multiLevelType w:val="hybridMultilevel"/>
    <w:tmpl w:val="CBF03E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6E915B4"/>
    <w:multiLevelType w:val="hybridMultilevel"/>
    <w:tmpl w:val="A732AF40"/>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3117A1"/>
    <w:multiLevelType w:val="hybridMultilevel"/>
    <w:tmpl w:val="CBF03E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0187CAB"/>
    <w:multiLevelType w:val="hybridMultilevel"/>
    <w:tmpl w:val="CBF03E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43820CD"/>
    <w:multiLevelType w:val="multilevel"/>
    <w:tmpl w:val="0B900B9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890"/>
        </w:tabs>
        <w:ind w:left="1890" w:hanging="720"/>
      </w:pPr>
      <w:rPr>
        <w:rFonts w:ascii="Times New Roman" w:hAnsi="Times New Roman" w:cs="Times New Roman" w:hint="default"/>
        <w:bCs w:val="0"/>
        <w:i w:val="0"/>
        <w:iCs w:val="0"/>
        <w:caps w:val="0"/>
        <w:smallCaps w:val="0"/>
        <w:strike w:val="0"/>
        <w:dstrike w:val="0"/>
        <w:vanish w:val="0"/>
        <w:color w:val="000000"/>
        <w:spacing w:val="0"/>
        <w:position w:val="0"/>
        <w:u w:val="none"/>
        <w:effect w:val="none"/>
        <w:vertAlign w:val="baseline"/>
        <w:em w:val="none"/>
        <w:specVanish w:val="0"/>
      </w:rPr>
    </w:lvl>
    <w:lvl w:ilvl="2">
      <w:start w:val="1"/>
      <w:numFmt w:val="lowerLetter"/>
      <w:lvlText w:val="%3)"/>
      <w:lvlJc w:val="left"/>
      <w:pPr>
        <w:tabs>
          <w:tab w:val="num" w:pos="1890"/>
        </w:tabs>
        <w:ind w:left="1890" w:hanging="360"/>
      </w:pPr>
      <w:rPr>
        <w:rFonts w:hint="default"/>
        <w:i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5392293"/>
    <w:multiLevelType w:val="hybridMultilevel"/>
    <w:tmpl w:val="CBF03E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65A122E"/>
    <w:multiLevelType w:val="hybridMultilevel"/>
    <w:tmpl w:val="CBF03E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9770088"/>
    <w:multiLevelType w:val="multilevel"/>
    <w:tmpl w:val="2C96FEC4"/>
    <w:lvl w:ilvl="0">
      <w:start w:val="1"/>
      <w:numFmt w:val="decimal"/>
      <w:pStyle w:val="HeadingNumbered01"/>
      <w:suff w:val="space"/>
      <w:lvlText w:val="%1."/>
      <w:lvlJc w:val="left"/>
      <w:pPr>
        <w:ind w:left="360" w:hanging="360"/>
      </w:pPr>
    </w:lvl>
    <w:lvl w:ilvl="1">
      <w:start w:val="1"/>
      <w:numFmt w:val="decimal"/>
      <w:pStyle w:val="HeadingNumbered02"/>
      <w:suff w:val="space"/>
      <w:lvlText w:val="%1.%2."/>
      <w:lvlJc w:val="left"/>
      <w:pPr>
        <w:ind w:left="1962" w:hanging="432"/>
      </w:pPr>
    </w:lvl>
    <w:lvl w:ilvl="2">
      <w:start w:val="1"/>
      <w:numFmt w:val="decimal"/>
      <w:pStyle w:val="HeadingNumbered03"/>
      <w:suff w:val="space"/>
      <w:lvlText w:val="%1.%2.%3."/>
      <w:lvlJc w:val="left"/>
      <w:pPr>
        <w:ind w:left="1224" w:hanging="504"/>
      </w:pPr>
    </w:lvl>
    <w:lvl w:ilvl="3">
      <w:start w:val="1"/>
      <w:numFmt w:val="decimal"/>
      <w:pStyle w:val="HeadingNumbered04"/>
      <w:suff w:val="space"/>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7D455D"/>
    <w:multiLevelType w:val="multilevel"/>
    <w:tmpl w:val="61C89EDA"/>
    <w:lvl w:ilvl="0">
      <w:start w:val="1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2DE32367"/>
    <w:multiLevelType w:val="hybridMultilevel"/>
    <w:tmpl w:val="CBF03E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F656201"/>
    <w:multiLevelType w:val="hybridMultilevel"/>
    <w:tmpl w:val="F526720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1900EA8"/>
    <w:multiLevelType w:val="hybridMultilevel"/>
    <w:tmpl w:val="CBF03E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3713293"/>
    <w:multiLevelType w:val="multilevel"/>
    <w:tmpl w:val="D0AA937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9164E0A"/>
    <w:multiLevelType w:val="hybridMultilevel"/>
    <w:tmpl w:val="CBF03E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9215A91"/>
    <w:multiLevelType w:val="hybridMultilevel"/>
    <w:tmpl w:val="7D604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EC1CD3"/>
    <w:multiLevelType w:val="hybridMultilevel"/>
    <w:tmpl w:val="B2A266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8A4AF6"/>
    <w:multiLevelType w:val="hybridMultilevel"/>
    <w:tmpl w:val="20941390"/>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D4C5C4F"/>
    <w:multiLevelType w:val="hybridMultilevel"/>
    <w:tmpl w:val="CBF03E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E545E26"/>
    <w:multiLevelType w:val="multilevel"/>
    <w:tmpl w:val="61C89EDA"/>
    <w:lvl w:ilvl="0">
      <w:start w:val="1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3E9178DE"/>
    <w:multiLevelType w:val="hybridMultilevel"/>
    <w:tmpl w:val="CBF03E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EE81CDF"/>
    <w:multiLevelType w:val="hybridMultilevel"/>
    <w:tmpl w:val="CBF03E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1A770A1"/>
    <w:multiLevelType w:val="hybridMultilevel"/>
    <w:tmpl w:val="CBF03E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68C2C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7" w15:restartNumberingAfterBreak="0">
    <w:nsid w:val="4E2C436F"/>
    <w:multiLevelType w:val="hybridMultilevel"/>
    <w:tmpl w:val="CBF03E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0B036C1"/>
    <w:multiLevelType w:val="hybridMultilevel"/>
    <w:tmpl w:val="60701860"/>
    <w:lvl w:ilvl="0" w:tplc="19B8EF6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27177B4"/>
    <w:multiLevelType w:val="multilevel"/>
    <w:tmpl w:val="BCAC93C6"/>
    <w:lvl w:ilvl="0">
      <w:start w:val="1"/>
      <w:numFmt w:val="decimal"/>
      <w:lvlText w:val="%1."/>
      <w:lvlJc w:val="left"/>
      <w:pPr>
        <w:tabs>
          <w:tab w:val="num" w:pos="720"/>
        </w:tabs>
        <w:ind w:left="720" w:hanging="720"/>
      </w:pPr>
    </w:lvl>
    <w:lvl w:ilvl="1">
      <w:start w:val="1"/>
      <w:numFmt w:val="decimal"/>
      <w:lvlText w:val="%1.%2."/>
      <w:lvlJc w:val="left"/>
      <w:pPr>
        <w:tabs>
          <w:tab w:val="num" w:pos="1890"/>
        </w:tabs>
        <w:ind w:left="1890" w:hanging="720"/>
      </w:pPr>
      <w:rPr>
        <w:rFonts w:ascii="Times New Roman" w:hAnsi="Times New Roman" w:cs="Times New Roman"/>
        <w:bCs w:val="0"/>
        <w:i w:val="0"/>
        <w:iCs w:val="0"/>
        <w:caps w:val="0"/>
        <w:smallCaps w:val="0"/>
        <w:strike w:val="0"/>
        <w:dstrike w:val="0"/>
        <w:vanish w:val="0"/>
        <w:color w:val="000000"/>
        <w:spacing w:val="0"/>
        <w:position w:val="0"/>
        <w:u w:val="none"/>
        <w:effect w:val="none"/>
        <w:vertAlign w:val="baseline"/>
        <w:em w:val="none"/>
        <w:specVanish w:val="0"/>
      </w:rPr>
    </w:lvl>
    <w:lvl w:ilvl="2">
      <w:start w:val="1"/>
      <w:numFmt w:val="lowerLetter"/>
      <w:lvlText w:val="%3)"/>
      <w:lvlJc w:val="left"/>
      <w:pPr>
        <w:tabs>
          <w:tab w:val="num" w:pos="1890"/>
        </w:tabs>
        <w:ind w:left="1890" w:hanging="360"/>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55A198C"/>
    <w:multiLevelType w:val="hybridMultilevel"/>
    <w:tmpl w:val="CBF03E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59D3FE0"/>
    <w:multiLevelType w:val="hybridMultilevel"/>
    <w:tmpl w:val="CBF03E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26B6DCF"/>
    <w:multiLevelType w:val="hybridMultilevel"/>
    <w:tmpl w:val="91CA59D4"/>
    <w:lvl w:ilvl="0" w:tplc="56B4916E">
      <w:start w:val="14"/>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3" w15:restartNumberingAfterBreak="0">
    <w:nsid w:val="69094AE7"/>
    <w:multiLevelType w:val="multilevel"/>
    <w:tmpl w:val="5B8EB280"/>
    <w:lvl w:ilvl="0">
      <w:start w:val="1"/>
      <w:numFmt w:val="decimal"/>
      <w:lvlText w:val="%1."/>
      <w:lvlJc w:val="left"/>
      <w:pPr>
        <w:tabs>
          <w:tab w:val="num" w:pos="1080"/>
        </w:tabs>
        <w:ind w:left="1080" w:hanging="360"/>
      </w:pPr>
    </w:lvl>
    <w:lvl w:ilvl="1">
      <w:start w:val="1"/>
      <w:numFmt w:val="decimal"/>
      <w:isLgl/>
      <w:lvlText w:val="%1.%2"/>
      <w:lvlJc w:val="left"/>
      <w:pPr>
        <w:tabs>
          <w:tab w:val="num" w:pos="2880"/>
        </w:tabs>
        <w:ind w:left="2880" w:hanging="1440"/>
      </w:pPr>
      <w:rPr>
        <w:rFonts w:hint="default"/>
      </w:rPr>
    </w:lvl>
    <w:lvl w:ilvl="2">
      <w:start w:val="1"/>
      <w:numFmt w:val="decimal"/>
      <w:isLgl/>
      <w:lvlText w:val="%1.%2.%3"/>
      <w:lvlJc w:val="left"/>
      <w:pPr>
        <w:tabs>
          <w:tab w:val="num" w:pos="3600"/>
        </w:tabs>
        <w:ind w:left="3600" w:hanging="1440"/>
      </w:pPr>
      <w:rPr>
        <w:rFonts w:hint="default"/>
      </w:rPr>
    </w:lvl>
    <w:lvl w:ilvl="3">
      <w:start w:val="1"/>
      <w:numFmt w:val="decimal"/>
      <w:isLgl/>
      <w:lvlText w:val="%1.%2.%3.%4"/>
      <w:lvlJc w:val="left"/>
      <w:pPr>
        <w:tabs>
          <w:tab w:val="num" w:pos="4320"/>
        </w:tabs>
        <w:ind w:left="4320" w:hanging="1440"/>
      </w:pPr>
      <w:rPr>
        <w:rFonts w:hint="default"/>
      </w:rPr>
    </w:lvl>
    <w:lvl w:ilvl="4">
      <w:start w:val="1"/>
      <w:numFmt w:val="decimal"/>
      <w:isLgl/>
      <w:lvlText w:val="%1.%2.%3.%4.%5"/>
      <w:lvlJc w:val="left"/>
      <w:pPr>
        <w:tabs>
          <w:tab w:val="num" w:pos="5040"/>
        </w:tabs>
        <w:ind w:left="5040" w:hanging="144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34" w15:restartNumberingAfterBreak="0">
    <w:nsid w:val="69BC258F"/>
    <w:multiLevelType w:val="multilevel"/>
    <w:tmpl w:val="BCAC93C6"/>
    <w:lvl w:ilvl="0">
      <w:start w:val="1"/>
      <w:numFmt w:val="decimal"/>
      <w:lvlText w:val="%1."/>
      <w:lvlJc w:val="left"/>
      <w:pPr>
        <w:tabs>
          <w:tab w:val="num" w:pos="720"/>
        </w:tabs>
        <w:ind w:left="720" w:hanging="720"/>
      </w:pPr>
    </w:lvl>
    <w:lvl w:ilvl="1">
      <w:start w:val="1"/>
      <w:numFmt w:val="decimal"/>
      <w:lvlText w:val="%1.%2."/>
      <w:lvlJc w:val="left"/>
      <w:pPr>
        <w:tabs>
          <w:tab w:val="num" w:pos="2970"/>
        </w:tabs>
        <w:ind w:left="2970" w:hanging="720"/>
      </w:pPr>
      <w:rPr>
        <w:rFonts w:ascii="Times New Roman" w:hAnsi="Times New Roman" w:cs="Times New Roman"/>
        <w:bCs w:val="0"/>
        <w:i w:val="0"/>
        <w:iCs w:val="0"/>
        <w:caps w:val="0"/>
        <w:smallCaps w:val="0"/>
        <w:strike w:val="0"/>
        <w:dstrike w:val="0"/>
        <w:vanish w:val="0"/>
        <w:color w:val="000000"/>
        <w:spacing w:val="0"/>
        <w:position w:val="0"/>
        <w:u w:val="none"/>
        <w:effect w:val="none"/>
        <w:vertAlign w:val="baseline"/>
        <w:em w:val="none"/>
        <w:specVanish w:val="0"/>
      </w:rPr>
    </w:lvl>
    <w:lvl w:ilvl="2">
      <w:start w:val="1"/>
      <w:numFmt w:val="lowerLetter"/>
      <w:lvlText w:val="%3)"/>
      <w:lvlJc w:val="left"/>
      <w:pPr>
        <w:tabs>
          <w:tab w:val="num" w:pos="1890"/>
        </w:tabs>
        <w:ind w:left="1890" w:hanging="360"/>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A2B47CF"/>
    <w:multiLevelType w:val="hybridMultilevel"/>
    <w:tmpl w:val="319CAB18"/>
    <w:lvl w:ilvl="0" w:tplc="78D897B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2D0789"/>
    <w:multiLevelType w:val="hybridMultilevel"/>
    <w:tmpl w:val="CBF03E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4A82DB6"/>
    <w:multiLevelType w:val="hybridMultilevel"/>
    <w:tmpl w:val="CBF03E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CD53D70"/>
    <w:multiLevelType w:val="hybridMultilevel"/>
    <w:tmpl w:val="76EE18D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FEF4883"/>
    <w:multiLevelType w:val="hybridMultilevel"/>
    <w:tmpl w:val="E5F0D3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7935192">
    <w:abstractNumId w:val="5"/>
  </w:num>
  <w:num w:numId="2" w16cid:durableId="797603089">
    <w:abstractNumId w:val="20"/>
  </w:num>
  <w:num w:numId="3" w16cid:durableId="1350137227">
    <w:abstractNumId w:val="38"/>
  </w:num>
  <w:num w:numId="4" w16cid:durableId="1683628859">
    <w:abstractNumId w:val="35"/>
  </w:num>
  <w:num w:numId="5" w16cid:durableId="207376659">
    <w:abstractNumId w:val="11"/>
  </w:num>
  <w:num w:numId="6" w16cid:durableId="1735546467">
    <w:abstractNumId w:val="26"/>
  </w:num>
  <w:num w:numId="7" w16cid:durableId="1595938655">
    <w:abstractNumId w:val="37"/>
  </w:num>
  <w:num w:numId="8" w16cid:durableId="425149247">
    <w:abstractNumId w:val="28"/>
  </w:num>
  <w:num w:numId="9" w16cid:durableId="1518690639">
    <w:abstractNumId w:val="1"/>
  </w:num>
  <w:num w:numId="10" w16cid:durableId="235405413">
    <w:abstractNumId w:val="18"/>
  </w:num>
  <w:num w:numId="11" w16cid:durableId="469985434">
    <w:abstractNumId w:val="22"/>
  </w:num>
  <w:num w:numId="12" w16cid:durableId="688484467">
    <w:abstractNumId w:val="33"/>
  </w:num>
  <w:num w:numId="13" w16cid:durableId="2065174280">
    <w:abstractNumId w:val="14"/>
  </w:num>
  <w:num w:numId="14" w16cid:durableId="793407181">
    <w:abstractNumId w:val="8"/>
  </w:num>
  <w:num w:numId="15" w16cid:durableId="6367129">
    <w:abstractNumId w:val="7"/>
  </w:num>
  <w:num w:numId="16" w16cid:durableId="1675720424">
    <w:abstractNumId w:val="13"/>
  </w:num>
  <w:num w:numId="17" w16cid:durableId="1523859029">
    <w:abstractNumId w:val="10"/>
  </w:num>
  <w:num w:numId="18" w16cid:durableId="1020007625">
    <w:abstractNumId w:val="23"/>
  </w:num>
  <w:num w:numId="19" w16cid:durableId="2049141513">
    <w:abstractNumId w:val="17"/>
  </w:num>
  <w:num w:numId="20" w16cid:durableId="284507825">
    <w:abstractNumId w:val="6"/>
  </w:num>
  <w:num w:numId="21" w16cid:durableId="811215899">
    <w:abstractNumId w:val="15"/>
  </w:num>
  <w:num w:numId="22" w16cid:durableId="1933932007">
    <w:abstractNumId w:val="25"/>
  </w:num>
  <w:num w:numId="23" w16cid:durableId="1926962944">
    <w:abstractNumId w:val="3"/>
  </w:num>
  <w:num w:numId="24" w16cid:durableId="2045135293">
    <w:abstractNumId w:val="31"/>
  </w:num>
  <w:num w:numId="25" w16cid:durableId="1456171710">
    <w:abstractNumId w:val="30"/>
  </w:num>
  <w:num w:numId="26" w16cid:durableId="748159806">
    <w:abstractNumId w:val="9"/>
  </w:num>
  <w:num w:numId="27" w16cid:durableId="1783718813">
    <w:abstractNumId w:val="21"/>
  </w:num>
  <w:num w:numId="28" w16cid:durableId="1926718638">
    <w:abstractNumId w:val="4"/>
  </w:num>
  <w:num w:numId="29" w16cid:durableId="290870552">
    <w:abstractNumId w:val="0"/>
  </w:num>
  <w:num w:numId="30" w16cid:durableId="1883057317">
    <w:abstractNumId w:val="27"/>
  </w:num>
  <w:num w:numId="31" w16cid:durableId="2070958658">
    <w:abstractNumId w:val="36"/>
  </w:num>
  <w:num w:numId="32" w16cid:durableId="13388131">
    <w:abstractNumId w:val="12"/>
  </w:num>
  <w:num w:numId="33" w16cid:durableId="2035878629">
    <w:abstractNumId w:val="16"/>
  </w:num>
  <w:num w:numId="34" w16cid:durableId="657149141">
    <w:abstractNumId w:val="34"/>
  </w:num>
  <w:num w:numId="35" w16cid:durableId="371467272">
    <w:abstractNumId w:val="2"/>
  </w:num>
  <w:num w:numId="36" w16cid:durableId="1095594387">
    <w:abstractNumId w:val="29"/>
  </w:num>
  <w:num w:numId="37" w16cid:durableId="722217989">
    <w:abstractNumId w:val="32"/>
  </w:num>
  <w:num w:numId="38" w16cid:durableId="966735133">
    <w:abstractNumId w:val="39"/>
  </w:num>
  <w:num w:numId="39" w16cid:durableId="1234512867">
    <w:abstractNumId w:val="19"/>
  </w:num>
  <w:num w:numId="40" w16cid:durableId="1971740794">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D16"/>
    <w:rsid w:val="00001BA9"/>
    <w:rsid w:val="00013FAA"/>
    <w:rsid w:val="00025771"/>
    <w:rsid w:val="000402AA"/>
    <w:rsid w:val="000477EA"/>
    <w:rsid w:val="00055F20"/>
    <w:rsid w:val="0009169C"/>
    <w:rsid w:val="00093FCF"/>
    <w:rsid w:val="000A12B0"/>
    <w:rsid w:val="000A17B7"/>
    <w:rsid w:val="000A7A65"/>
    <w:rsid w:val="000B310C"/>
    <w:rsid w:val="000C6F5F"/>
    <w:rsid w:val="000C72A5"/>
    <w:rsid w:val="000D197E"/>
    <w:rsid w:val="000D3782"/>
    <w:rsid w:val="000E722C"/>
    <w:rsid w:val="000E7282"/>
    <w:rsid w:val="00102FFE"/>
    <w:rsid w:val="00107755"/>
    <w:rsid w:val="0011095C"/>
    <w:rsid w:val="00115FD7"/>
    <w:rsid w:val="00136B7B"/>
    <w:rsid w:val="00137D16"/>
    <w:rsid w:val="00171967"/>
    <w:rsid w:val="00183FB7"/>
    <w:rsid w:val="00191612"/>
    <w:rsid w:val="001B3B78"/>
    <w:rsid w:val="001B623E"/>
    <w:rsid w:val="001D1EDA"/>
    <w:rsid w:val="001D3E7F"/>
    <w:rsid w:val="001E52BA"/>
    <w:rsid w:val="00212435"/>
    <w:rsid w:val="00221A38"/>
    <w:rsid w:val="00233187"/>
    <w:rsid w:val="00236EDB"/>
    <w:rsid w:val="00257B73"/>
    <w:rsid w:val="00267687"/>
    <w:rsid w:val="002838EC"/>
    <w:rsid w:val="00283AA5"/>
    <w:rsid w:val="002938CD"/>
    <w:rsid w:val="00294D12"/>
    <w:rsid w:val="00295139"/>
    <w:rsid w:val="00297334"/>
    <w:rsid w:val="002A656F"/>
    <w:rsid w:val="002B1B6A"/>
    <w:rsid w:val="002B4A01"/>
    <w:rsid w:val="002F79DA"/>
    <w:rsid w:val="00307222"/>
    <w:rsid w:val="003101E1"/>
    <w:rsid w:val="00310F49"/>
    <w:rsid w:val="00315437"/>
    <w:rsid w:val="0032267F"/>
    <w:rsid w:val="003227F4"/>
    <w:rsid w:val="00325861"/>
    <w:rsid w:val="003278F9"/>
    <w:rsid w:val="003314FB"/>
    <w:rsid w:val="003456D1"/>
    <w:rsid w:val="00350F8C"/>
    <w:rsid w:val="00353367"/>
    <w:rsid w:val="00375722"/>
    <w:rsid w:val="003871D4"/>
    <w:rsid w:val="00391674"/>
    <w:rsid w:val="003A4A37"/>
    <w:rsid w:val="003B1E30"/>
    <w:rsid w:val="003B3F3F"/>
    <w:rsid w:val="003D5A49"/>
    <w:rsid w:val="004172B7"/>
    <w:rsid w:val="00433111"/>
    <w:rsid w:val="00434731"/>
    <w:rsid w:val="004376BA"/>
    <w:rsid w:val="00442AB1"/>
    <w:rsid w:val="0045002D"/>
    <w:rsid w:val="00467A55"/>
    <w:rsid w:val="004A724D"/>
    <w:rsid w:val="004B0328"/>
    <w:rsid w:val="004C118B"/>
    <w:rsid w:val="004C4AB3"/>
    <w:rsid w:val="004E4DDF"/>
    <w:rsid w:val="004F22BD"/>
    <w:rsid w:val="004F264B"/>
    <w:rsid w:val="004F3BF4"/>
    <w:rsid w:val="00521291"/>
    <w:rsid w:val="005223D5"/>
    <w:rsid w:val="00525384"/>
    <w:rsid w:val="00542159"/>
    <w:rsid w:val="005562B3"/>
    <w:rsid w:val="00584841"/>
    <w:rsid w:val="00585D57"/>
    <w:rsid w:val="0059165B"/>
    <w:rsid w:val="005A0A2C"/>
    <w:rsid w:val="005E03D2"/>
    <w:rsid w:val="005E5B77"/>
    <w:rsid w:val="00601A1D"/>
    <w:rsid w:val="00612D18"/>
    <w:rsid w:val="00624326"/>
    <w:rsid w:val="006321C3"/>
    <w:rsid w:val="00635D66"/>
    <w:rsid w:val="00636F05"/>
    <w:rsid w:val="00655431"/>
    <w:rsid w:val="0066555D"/>
    <w:rsid w:val="0066762F"/>
    <w:rsid w:val="00685B84"/>
    <w:rsid w:val="006A05A4"/>
    <w:rsid w:val="006A43A2"/>
    <w:rsid w:val="006B04FC"/>
    <w:rsid w:val="006B42AD"/>
    <w:rsid w:val="006B7680"/>
    <w:rsid w:val="006D7A32"/>
    <w:rsid w:val="006E601E"/>
    <w:rsid w:val="006E79EF"/>
    <w:rsid w:val="00714027"/>
    <w:rsid w:val="0071652E"/>
    <w:rsid w:val="00726A72"/>
    <w:rsid w:val="007433EF"/>
    <w:rsid w:val="00761CAE"/>
    <w:rsid w:val="00761E8E"/>
    <w:rsid w:val="007641BE"/>
    <w:rsid w:val="00764A5F"/>
    <w:rsid w:val="007853FA"/>
    <w:rsid w:val="00787D37"/>
    <w:rsid w:val="00794B65"/>
    <w:rsid w:val="007A1646"/>
    <w:rsid w:val="007A1C3D"/>
    <w:rsid w:val="007B1743"/>
    <w:rsid w:val="007B40F9"/>
    <w:rsid w:val="007D23AE"/>
    <w:rsid w:val="007F0ED7"/>
    <w:rsid w:val="007F4318"/>
    <w:rsid w:val="00810677"/>
    <w:rsid w:val="00824BE4"/>
    <w:rsid w:val="00842E7F"/>
    <w:rsid w:val="00846C48"/>
    <w:rsid w:val="0085494E"/>
    <w:rsid w:val="00866C7A"/>
    <w:rsid w:val="00872683"/>
    <w:rsid w:val="008773E7"/>
    <w:rsid w:val="00890CD1"/>
    <w:rsid w:val="008930E6"/>
    <w:rsid w:val="00895A23"/>
    <w:rsid w:val="008A07E6"/>
    <w:rsid w:val="008D4AB1"/>
    <w:rsid w:val="008D5A99"/>
    <w:rsid w:val="008E71D4"/>
    <w:rsid w:val="008E7D05"/>
    <w:rsid w:val="008F2D58"/>
    <w:rsid w:val="00931520"/>
    <w:rsid w:val="0094537A"/>
    <w:rsid w:val="00950EA8"/>
    <w:rsid w:val="009553C7"/>
    <w:rsid w:val="009573AE"/>
    <w:rsid w:val="009577AA"/>
    <w:rsid w:val="0096163C"/>
    <w:rsid w:val="00961BBE"/>
    <w:rsid w:val="00974052"/>
    <w:rsid w:val="0098073A"/>
    <w:rsid w:val="009B3DFC"/>
    <w:rsid w:val="009D5212"/>
    <w:rsid w:val="009F2825"/>
    <w:rsid w:val="009F4863"/>
    <w:rsid w:val="009F597C"/>
    <w:rsid w:val="009F6E6B"/>
    <w:rsid w:val="00A342CF"/>
    <w:rsid w:val="00A62BFF"/>
    <w:rsid w:val="00A72206"/>
    <w:rsid w:val="00A74A24"/>
    <w:rsid w:val="00A75F99"/>
    <w:rsid w:val="00AB19D7"/>
    <w:rsid w:val="00AC6FCC"/>
    <w:rsid w:val="00AD0390"/>
    <w:rsid w:val="00AD3E94"/>
    <w:rsid w:val="00AE0F78"/>
    <w:rsid w:val="00AE68C7"/>
    <w:rsid w:val="00AF33C8"/>
    <w:rsid w:val="00B119C0"/>
    <w:rsid w:val="00B14AFD"/>
    <w:rsid w:val="00B2296E"/>
    <w:rsid w:val="00B3500F"/>
    <w:rsid w:val="00B55A87"/>
    <w:rsid w:val="00B65FB5"/>
    <w:rsid w:val="00B712E1"/>
    <w:rsid w:val="00B82375"/>
    <w:rsid w:val="00B8251E"/>
    <w:rsid w:val="00B8328C"/>
    <w:rsid w:val="00B93B03"/>
    <w:rsid w:val="00BA570F"/>
    <w:rsid w:val="00BA6357"/>
    <w:rsid w:val="00BB0297"/>
    <w:rsid w:val="00BB5D5D"/>
    <w:rsid w:val="00BD453B"/>
    <w:rsid w:val="00BD68B0"/>
    <w:rsid w:val="00C0699E"/>
    <w:rsid w:val="00C15110"/>
    <w:rsid w:val="00C26D94"/>
    <w:rsid w:val="00C361D1"/>
    <w:rsid w:val="00C60B02"/>
    <w:rsid w:val="00C6504D"/>
    <w:rsid w:val="00C81868"/>
    <w:rsid w:val="00CA1280"/>
    <w:rsid w:val="00CA530E"/>
    <w:rsid w:val="00CB5056"/>
    <w:rsid w:val="00CD5E8A"/>
    <w:rsid w:val="00CE6D71"/>
    <w:rsid w:val="00CF09A7"/>
    <w:rsid w:val="00CF4065"/>
    <w:rsid w:val="00D035A6"/>
    <w:rsid w:val="00D06FAC"/>
    <w:rsid w:val="00D10445"/>
    <w:rsid w:val="00D20F77"/>
    <w:rsid w:val="00D32FCB"/>
    <w:rsid w:val="00D37AA4"/>
    <w:rsid w:val="00D66CB0"/>
    <w:rsid w:val="00D824A6"/>
    <w:rsid w:val="00D9210E"/>
    <w:rsid w:val="00DA7289"/>
    <w:rsid w:val="00DF74CC"/>
    <w:rsid w:val="00E2727D"/>
    <w:rsid w:val="00E30E38"/>
    <w:rsid w:val="00E3174F"/>
    <w:rsid w:val="00E33F26"/>
    <w:rsid w:val="00E4020D"/>
    <w:rsid w:val="00E55779"/>
    <w:rsid w:val="00E630D0"/>
    <w:rsid w:val="00E72EBC"/>
    <w:rsid w:val="00E86E61"/>
    <w:rsid w:val="00E87787"/>
    <w:rsid w:val="00E9403D"/>
    <w:rsid w:val="00E954D5"/>
    <w:rsid w:val="00E95B05"/>
    <w:rsid w:val="00E97E7C"/>
    <w:rsid w:val="00EA1D03"/>
    <w:rsid w:val="00EA2D67"/>
    <w:rsid w:val="00EA56DE"/>
    <w:rsid w:val="00EA7ABB"/>
    <w:rsid w:val="00ED68EC"/>
    <w:rsid w:val="00EF0ADC"/>
    <w:rsid w:val="00EF4C3D"/>
    <w:rsid w:val="00F14E0E"/>
    <w:rsid w:val="00F31056"/>
    <w:rsid w:val="00F33295"/>
    <w:rsid w:val="00F36DD0"/>
    <w:rsid w:val="00F3754E"/>
    <w:rsid w:val="00F53B77"/>
    <w:rsid w:val="00F54B60"/>
    <w:rsid w:val="00F571DB"/>
    <w:rsid w:val="00F85357"/>
    <w:rsid w:val="00F86B52"/>
    <w:rsid w:val="00F93345"/>
    <w:rsid w:val="00FB1B8F"/>
    <w:rsid w:val="00FB67F6"/>
    <w:rsid w:val="00FC2549"/>
    <w:rsid w:val="00FC6CAA"/>
    <w:rsid w:val="00FE13E7"/>
    <w:rsid w:val="00FE4546"/>
    <w:rsid w:val="00FE5007"/>
    <w:rsid w:val="00FF4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D160350"/>
  <w15:docId w15:val="{24CC7BBD-10BC-4C7A-8200-D83F3374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2AA"/>
    <w:pPr>
      <w:spacing w:after="0" w:line="240" w:lineRule="auto"/>
    </w:pPr>
    <w:rPr>
      <w:rFonts w:ascii="Times New Roman" w:eastAsia="Times New Roman" w:hAnsi="Times New Roman" w:cs="Times New Roman"/>
      <w:szCs w:val="20"/>
    </w:rPr>
  </w:style>
  <w:style w:type="paragraph" w:styleId="Heading1">
    <w:name w:val="heading 1"/>
    <w:aliases w:val="Part,H1"/>
    <w:next w:val="Heading1para"/>
    <w:link w:val="Heading1Char"/>
    <w:qFormat/>
    <w:rsid w:val="00137D16"/>
    <w:pPr>
      <w:keepNext/>
      <w:spacing w:before="240" w:after="60" w:line="240" w:lineRule="auto"/>
      <w:outlineLvl w:val="0"/>
    </w:pPr>
    <w:rPr>
      <w:rFonts w:ascii="Times New Roman" w:eastAsia="Times New Roman" w:hAnsi="Times New Roman" w:cs="Times New Roman"/>
      <w:b/>
      <w:noProof/>
      <w:kern w:val="28"/>
      <w:sz w:val="24"/>
      <w:szCs w:val="20"/>
    </w:rPr>
  </w:style>
  <w:style w:type="paragraph" w:styleId="Heading2">
    <w:name w:val="heading 2"/>
    <w:aliases w:val="h2"/>
    <w:link w:val="Heading2Char"/>
    <w:qFormat/>
    <w:rsid w:val="00137D16"/>
    <w:pPr>
      <w:spacing w:before="120" w:after="60" w:line="240" w:lineRule="auto"/>
      <w:outlineLvl w:val="1"/>
    </w:pPr>
    <w:rPr>
      <w:rFonts w:ascii="Times New Roman" w:eastAsia="Times New Roman" w:hAnsi="Times New Roman" w:cs="Times New Roman"/>
      <w:noProof/>
      <w:szCs w:val="20"/>
    </w:rPr>
  </w:style>
  <w:style w:type="paragraph" w:styleId="Heading3">
    <w:name w:val="heading 3"/>
    <w:basedOn w:val="Normal"/>
    <w:link w:val="Heading3Char"/>
    <w:autoRedefine/>
    <w:qFormat/>
    <w:rsid w:val="0032267F"/>
    <w:pPr>
      <w:spacing w:before="60" w:after="120"/>
      <w:ind w:left="1440"/>
      <w:outlineLvl w:val="2"/>
    </w:pPr>
    <w:rPr>
      <w:rFonts w:eastAsiaTheme="minorHAnsi"/>
      <w:szCs w:val="22"/>
    </w:rPr>
  </w:style>
  <w:style w:type="paragraph" w:styleId="Heading4">
    <w:name w:val="heading 4"/>
    <w:basedOn w:val="Normal"/>
    <w:next w:val="Normal"/>
    <w:link w:val="Heading4Char"/>
    <w:uiPriority w:val="9"/>
    <w:unhideWhenUsed/>
    <w:qFormat/>
    <w:rsid w:val="00115FD7"/>
    <w:pPr>
      <w:keepNext/>
      <w:keepLines/>
      <w:numPr>
        <w:ilvl w:val="3"/>
        <w:numId w:val="6"/>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15FD7"/>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115FD7"/>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115FD7"/>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115FD7"/>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15FD7"/>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H1 Char"/>
    <w:basedOn w:val="DefaultParagraphFont"/>
    <w:link w:val="Heading1"/>
    <w:rsid w:val="00137D16"/>
    <w:rPr>
      <w:rFonts w:ascii="Times New Roman" w:eastAsia="Times New Roman" w:hAnsi="Times New Roman" w:cs="Times New Roman"/>
      <w:b/>
      <w:noProof/>
      <w:kern w:val="28"/>
      <w:sz w:val="24"/>
      <w:szCs w:val="20"/>
    </w:rPr>
  </w:style>
  <w:style w:type="character" w:customStyle="1" w:styleId="Heading2Char">
    <w:name w:val="Heading 2 Char"/>
    <w:aliases w:val="h2 Char"/>
    <w:basedOn w:val="DefaultParagraphFont"/>
    <w:link w:val="Heading2"/>
    <w:rsid w:val="00137D16"/>
    <w:rPr>
      <w:rFonts w:ascii="Times New Roman" w:eastAsia="Times New Roman" w:hAnsi="Times New Roman" w:cs="Times New Roman"/>
      <w:noProof/>
      <w:szCs w:val="20"/>
    </w:rPr>
  </w:style>
  <w:style w:type="character" w:customStyle="1" w:styleId="Heading3Char">
    <w:name w:val="Heading 3 Char"/>
    <w:basedOn w:val="DefaultParagraphFont"/>
    <w:link w:val="Heading3"/>
    <w:rsid w:val="0032267F"/>
    <w:rPr>
      <w:rFonts w:ascii="Times New Roman" w:hAnsi="Times New Roman" w:cs="Times New Roman"/>
    </w:rPr>
  </w:style>
  <w:style w:type="paragraph" w:customStyle="1" w:styleId="Heading1para">
    <w:name w:val="Heading 1 para"/>
    <w:rsid w:val="00137D16"/>
    <w:pPr>
      <w:spacing w:before="120" w:after="120" w:line="240" w:lineRule="auto"/>
      <w:ind w:left="720"/>
    </w:pPr>
    <w:rPr>
      <w:rFonts w:ascii="Times New Roman" w:eastAsia="Times New Roman" w:hAnsi="Times New Roman" w:cs="Times New Roman"/>
      <w:szCs w:val="20"/>
    </w:rPr>
  </w:style>
  <w:style w:type="character" w:styleId="Hyperlink">
    <w:name w:val="Hyperlink"/>
    <w:basedOn w:val="DefaultParagraphFont"/>
    <w:uiPriority w:val="99"/>
    <w:rsid w:val="00137D16"/>
    <w:rPr>
      <w:color w:val="0000FF"/>
      <w:u w:val="single"/>
    </w:rPr>
  </w:style>
  <w:style w:type="paragraph" w:customStyle="1" w:styleId="Heading2Para">
    <w:name w:val="Heading 2 Para"/>
    <w:basedOn w:val="Normal"/>
    <w:link w:val="Heading2ParaChar2"/>
    <w:rsid w:val="00137D16"/>
    <w:pPr>
      <w:spacing w:before="120"/>
      <w:ind w:left="1440" w:hanging="720"/>
    </w:pPr>
  </w:style>
  <w:style w:type="character" w:customStyle="1" w:styleId="Heading2ParaChar2">
    <w:name w:val="Heading 2 Para Char2"/>
    <w:basedOn w:val="DefaultParagraphFont"/>
    <w:link w:val="Heading2Para"/>
    <w:rsid w:val="00137D16"/>
    <w:rPr>
      <w:rFonts w:ascii="Times New Roman" w:eastAsia="Times New Roman" w:hAnsi="Times New Roman" w:cs="Times New Roman"/>
      <w:szCs w:val="20"/>
    </w:rPr>
  </w:style>
  <w:style w:type="paragraph" w:styleId="ListParagraph">
    <w:name w:val="List Paragraph"/>
    <w:basedOn w:val="Normal"/>
    <w:uiPriority w:val="34"/>
    <w:qFormat/>
    <w:rsid w:val="00137D16"/>
    <w:pPr>
      <w:ind w:left="720"/>
      <w:contextualSpacing/>
    </w:pPr>
  </w:style>
  <w:style w:type="paragraph" w:customStyle="1" w:styleId="Body2">
    <w:name w:val="Body 2"/>
    <w:basedOn w:val="Normal"/>
    <w:link w:val="Body2Char"/>
    <w:uiPriority w:val="99"/>
    <w:rsid w:val="00137D16"/>
    <w:pPr>
      <w:keepLines/>
      <w:spacing w:before="120" w:after="60"/>
      <w:ind w:left="1080"/>
    </w:pPr>
    <w:rPr>
      <w:kern w:val="28"/>
    </w:rPr>
  </w:style>
  <w:style w:type="character" w:customStyle="1" w:styleId="Body2Char">
    <w:name w:val="Body 2 Char"/>
    <w:link w:val="Body2"/>
    <w:uiPriority w:val="99"/>
    <w:locked/>
    <w:rsid w:val="00137D16"/>
    <w:rPr>
      <w:rFonts w:ascii="Times New Roman" w:eastAsia="Times New Roman" w:hAnsi="Times New Roman" w:cs="Times New Roman"/>
      <w:kern w:val="28"/>
      <w:szCs w:val="20"/>
    </w:rPr>
  </w:style>
  <w:style w:type="paragraph" w:styleId="NoSpacing">
    <w:name w:val="No Spacing"/>
    <w:uiPriority w:val="1"/>
    <w:qFormat/>
    <w:rsid w:val="000E722C"/>
    <w:pPr>
      <w:spacing w:after="0" w:line="240" w:lineRule="auto"/>
    </w:pPr>
    <w:rPr>
      <w:rFonts w:ascii="Times New Roman" w:eastAsia="Times New Roman" w:hAnsi="Times New Roman" w:cs="Times New Roman"/>
      <w:szCs w:val="20"/>
    </w:rPr>
  </w:style>
  <w:style w:type="paragraph" w:customStyle="1" w:styleId="HeadingNumbered01">
    <w:name w:val="Heading Numbered01"/>
    <w:basedOn w:val="Normal"/>
    <w:rsid w:val="00115FD7"/>
    <w:pPr>
      <w:numPr>
        <w:numId w:val="5"/>
      </w:numPr>
    </w:pPr>
  </w:style>
  <w:style w:type="paragraph" w:customStyle="1" w:styleId="HeadingNumbered02">
    <w:name w:val="Heading Numbered02"/>
    <w:basedOn w:val="Normal"/>
    <w:rsid w:val="00115FD7"/>
    <w:pPr>
      <w:numPr>
        <w:ilvl w:val="1"/>
        <w:numId w:val="5"/>
      </w:numPr>
    </w:pPr>
  </w:style>
  <w:style w:type="paragraph" w:customStyle="1" w:styleId="HeadingNumbered03">
    <w:name w:val="Heading Numbered03"/>
    <w:basedOn w:val="Normal"/>
    <w:rsid w:val="00115FD7"/>
    <w:pPr>
      <w:numPr>
        <w:ilvl w:val="2"/>
        <w:numId w:val="5"/>
      </w:numPr>
    </w:pPr>
  </w:style>
  <w:style w:type="paragraph" w:customStyle="1" w:styleId="HeadingNumbered04">
    <w:name w:val="Heading Numbered04"/>
    <w:basedOn w:val="Normal"/>
    <w:rsid w:val="00115FD7"/>
    <w:pPr>
      <w:numPr>
        <w:ilvl w:val="3"/>
        <w:numId w:val="5"/>
      </w:numPr>
    </w:pPr>
  </w:style>
  <w:style w:type="paragraph" w:styleId="Title">
    <w:name w:val="Title"/>
    <w:basedOn w:val="Normal"/>
    <w:next w:val="Normal"/>
    <w:link w:val="TitleChar"/>
    <w:qFormat/>
    <w:rsid w:val="00115FD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15FD7"/>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115FD7"/>
    <w:rPr>
      <w:rFonts w:asciiTheme="majorHAnsi" w:eastAsiaTheme="majorEastAsia" w:hAnsiTheme="majorHAnsi" w:cstheme="majorBidi"/>
      <w:i/>
      <w:iCs/>
      <w:color w:val="2E74B5" w:themeColor="accent1" w:themeShade="BF"/>
      <w:szCs w:val="20"/>
    </w:rPr>
  </w:style>
  <w:style w:type="character" w:customStyle="1" w:styleId="Heading5Char">
    <w:name w:val="Heading 5 Char"/>
    <w:basedOn w:val="DefaultParagraphFont"/>
    <w:link w:val="Heading5"/>
    <w:uiPriority w:val="9"/>
    <w:rsid w:val="00115FD7"/>
    <w:rPr>
      <w:rFonts w:asciiTheme="majorHAnsi" w:eastAsiaTheme="majorEastAsia" w:hAnsiTheme="majorHAnsi" w:cstheme="majorBidi"/>
      <w:color w:val="2E74B5" w:themeColor="accent1" w:themeShade="BF"/>
      <w:szCs w:val="20"/>
    </w:rPr>
  </w:style>
  <w:style w:type="character" w:customStyle="1" w:styleId="Heading6Char">
    <w:name w:val="Heading 6 Char"/>
    <w:basedOn w:val="DefaultParagraphFont"/>
    <w:link w:val="Heading6"/>
    <w:uiPriority w:val="9"/>
    <w:rsid w:val="00115FD7"/>
    <w:rPr>
      <w:rFonts w:asciiTheme="majorHAnsi" w:eastAsiaTheme="majorEastAsia" w:hAnsiTheme="majorHAnsi" w:cstheme="majorBidi"/>
      <w:color w:val="1F4D78" w:themeColor="accent1" w:themeShade="7F"/>
      <w:szCs w:val="20"/>
    </w:rPr>
  </w:style>
  <w:style w:type="character" w:customStyle="1" w:styleId="Heading7Char">
    <w:name w:val="Heading 7 Char"/>
    <w:basedOn w:val="DefaultParagraphFont"/>
    <w:link w:val="Heading7"/>
    <w:uiPriority w:val="9"/>
    <w:rsid w:val="00115FD7"/>
    <w:rPr>
      <w:rFonts w:asciiTheme="majorHAnsi" w:eastAsiaTheme="majorEastAsia" w:hAnsiTheme="majorHAnsi" w:cstheme="majorBidi"/>
      <w:i/>
      <w:iCs/>
      <w:color w:val="1F4D78" w:themeColor="accent1" w:themeShade="7F"/>
      <w:szCs w:val="20"/>
    </w:rPr>
  </w:style>
  <w:style w:type="character" w:customStyle="1" w:styleId="Heading8Char">
    <w:name w:val="Heading 8 Char"/>
    <w:basedOn w:val="DefaultParagraphFont"/>
    <w:link w:val="Heading8"/>
    <w:uiPriority w:val="9"/>
    <w:rsid w:val="00115FD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15FD7"/>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E272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2727D"/>
    <w:pPr>
      <w:tabs>
        <w:tab w:val="center" w:pos="4320"/>
        <w:tab w:val="right" w:pos="8640"/>
      </w:tabs>
    </w:pPr>
  </w:style>
  <w:style w:type="character" w:customStyle="1" w:styleId="HeaderChar">
    <w:name w:val="Header Char"/>
    <w:basedOn w:val="DefaultParagraphFont"/>
    <w:link w:val="Header"/>
    <w:rsid w:val="00E2727D"/>
    <w:rPr>
      <w:rFonts w:ascii="Times New Roman" w:eastAsia="Times New Roman" w:hAnsi="Times New Roman" w:cs="Times New Roman"/>
      <w:szCs w:val="20"/>
    </w:rPr>
  </w:style>
  <w:style w:type="paragraph" w:customStyle="1" w:styleId="Normal-Left">
    <w:name w:val="Normal-Left"/>
    <w:basedOn w:val="Normal"/>
    <w:rsid w:val="00E2727D"/>
    <w:pPr>
      <w:spacing w:after="120"/>
    </w:pPr>
  </w:style>
  <w:style w:type="paragraph" w:styleId="BodyText">
    <w:name w:val="Body Text"/>
    <w:basedOn w:val="Normal"/>
    <w:link w:val="BodyTextChar"/>
    <w:rsid w:val="00E2727D"/>
    <w:pPr>
      <w:spacing w:after="120"/>
    </w:pPr>
  </w:style>
  <w:style w:type="character" w:customStyle="1" w:styleId="BodyTextChar">
    <w:name w:val="Body Text Char"/>
    <w:basedOn w:val="DefaultParagraphFont"/>
    <w:link w:val="BodyText"/>
    <w:rsid w:val="00E2727D"/>
    <w:rPr>
      <w:rFonts w:ascii="Times New Roman" w:eastAsia="Times New Roman" w:hAnsi="Times New Roman" w:cs="Times New Roman"/>
      <w:szCs w:val="20"/>
    </w:rPr>
  </w:style>
  <w:style w:type="paragraph" w:styleId="BlockText">
    <w:name w:val="Block Text"/>
    <w:basedOn w:val="Normal"/>
    <w:rsid w:val="00E2727D"/>
    <w:pPr>
      <w:ind w:left="1080" w:right="1350"/>
    </w:pPr>
    <w:rPr>
      <w:i/>
      <w:color w:val="FF0000"/>
      <w:sz w:val="24"/>
    </w:rPr>
  </w:style>
  <w:style w:type="character" w:styleId="CommentReference">
    <w:name w:val="annotation reference"/>
    <w:basedOn w:val="DefaultParagraphFont"/>
    <w:uiPriority w:val="99"/>
    <w:semiHidden/>
    <w:unhideWhenUsed/>
    <w:rsid w:val="00C60B02"/>
    <w:rPr>
      <w:sz w:val="16"/>
      <w:szCs w:val="16"/>
    </w:rPr>
  </w:style>
  <w:style w:type="paragraph" w:styleId="CommentText">
    <w:name w:val="annotation text"/>
    <w:basedOn w:val="Normal"/>
    <w:link w:val="CommentTextChar"/>
    <w:uiPriority w:val="99"/>
    <w:unhideWhenUsed/>
    <w:rsid w:val="00C60B02"/>
    <w:rPr>
      <w:sz w:val="20"/>
    </w:rPr>
  </w:style>
  <w:style w:type="character" w:customStyle="1" w:styleId="CommentTextChar">
    <w:name w:val="Comment Text Char"/>
    <w:basedOn w:val="DefaultParagraphFont"/>
    <w:link w:val="CommentText"/>
    <w:uiPriority w:val="99"/>
    <w:rsid w:val="00C60B0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0B02"/>
    <w:rPr>
      <w:b/>
      <w:bCs/>
    </w:rPr>
  </w:style>
  <w:style w:type="character" w:customStyle="1" w:styleId="CommentSubjectChar">
    <w:name w:val="Comment Subject Char"/>
    <w:basedOn w:val="CommentTextChar"/>
    <w:link w:val="CommentSubject"/>
    <w:uiPriority w:val="99"/>
    <w:semiHidden/>
    <w:rsid w:val="00C60B0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60B02"/>
    <w:rPr>
      <w:rFonts w:ascii="Tahoma" w:hAnsi="Tahoma" w:cs="Tahoma"/>
      <w:sz w:val="16"/>
      <w:szCs w:val="16"/>
    </w:rPr>
  </w:style>
  <w:style w:type="character" w:customStyle="1" w:styleId="BalloonTextChar">
    <w:name w:val="Balloon Text Char"/>
    <w:basedOn w:val="DefaultParagraphFont"/>
    <w:link w:val="BalloonText"/>
    <w:uiPriority w:val="99"/>
    <w:semiHidden/>
    <w:rsid w:val="00C60B02"/>
    <w:rPr>
      <w:rFonts w:ascii="Tahoma" w:eastAsia="Times New Roman" w:hAnsi="Tahoma" w:cs="Tahoma"/>
      <w:sz w:val="16"/>
      <w:szCs w:val="16"/>
    </w:rPr>
  </w:style>
  <w:style w:type="paragraph" w:customStyle="1" w:styleId="Heading2para0">
    <w:name w:val="Heading 2 para"/>
    <w:rsid w:val="00212435"/>
    <w:pPr>
      <w:spacing w:after="0" w:line="240" w:lineRule="auto"/>
      <w:ind w:left="1440"/>
    </w:pPr>
    <w:rPr>
      <w:rFonts w:ascii="Times New Roman" w:eastAsia="Times New Roman" w:hAnsi="Times New Roman" w:cs="Times New Roman"/>
      <w:noProof/>
      <w:szCs w:val="20"/>
    </w:rPr>
  </w:style>
  <w:style w:type="paragraph" w:styleId="Revision">
    <w:name w:val="Revision"/>
    <w:hidden/>
    <w:uiPriority w:val="99"/>
    <w:semiHidden/>
    <w:rsid w:val="007433EF"/>
    <w:pPr>
      <w:spacing w:after="0" w:line="240" w:lineRule="auto"/>
    </w:pPr>
    <w:rPr>
      <w:rFonts w:ascii="Times New Roman" w:eastAsia="Times New Roman" w:hAnsi="Times New Roman" w:cs="Times New Roman"/>
      <w:szCs w:val="20"/>
    </w:rPr>
  </w:style>
  <w:style w:type="paragraph" w:styleId="BodyText2">
    <w:name w:val="Body Text 2"/>
    <w:basedOn w:val="Normal"/>
    <w:link w:val="BodyText2Char"/>
    <w:uiPriority w:val="99"/>
    <w:semiHidden/>
    <w:unhideWhenUsed/>
    <w:rsid w:val="006B04FC"/>
    <w:pPr>
      <w:spacing w:after="120" w:line="480" w:lineRule="auto"/>
    </w:pPr>
  </w:style>
  <w:style w:type="character" w:customStyle="1" w:styleId="BodyText2Char">
    <w:name w:val="Body Text 2 Char"/>
    <w:basedOn w:val="DefaultParagraphFont"/>
    <w:link w:val="BodyText2"/>
    <w:uiPriority w:val="99"/>
    <w:semiHidden/>
    <w:rsid w:val="006B04FC"/>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D824A6"/>
    <w:rPr>
      <w:color w:val="954F72" w:themeColor="followedHyperlink"/>
      <w:u w:val="single"/>
    </w:rPr>
  </w:style>
  <w:style w:type="paragraph" w:styleId="Footer">
    <w:name w:val="footer"/>
    <w:basedOn w:val="Normal"/>
    <w:link w:val="FooterChar"/>
    <w:uiPriority w:val="99"/>
    <w:unhideWhenUsed/>
    <w:rsid w:val="004F22BD"/>
    <w:pPr>
      <w:tabs>
        <w:tab w:val="center" w:pos="4680"/>
        <w:tab w:val="right" w:pos="9360"/>
      </w:tabs>
    </w:pPr>
  </w:style>
  <w:style w:type="character" w:customStyle="1" w:styleId="FooterChar">
    <w:name w:val="Footer Char"/>
    <w:basedOn w:val="DefaultParagraphFont"/>
    <w:link w:val="Footer"/>
    <w:uiPriority w:val="99"/>
    <w:rsid w:val="004F22BD"/>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024023">
      <w:bodyDiv w:val="1"/>
      <w:marLeft w:val="0"/>
      <w:marRight w:val="0"/>
      <w:marTop w:val="0"/>
      <w:marBottom w:val="0"/>
      <w:divBdr>
        <w:top w:val="none" w:sz="0" w:space="0" w:color="auto"/>
        <w:left w:val="none" w:sz="0" w:space="0" w:color="auto"/>
        <w:bottom w:val="none" w:sz="0" w:space="0" w:color="auto"/>
        <w:right w:val="none" w:sz="0" w:space="0" w:color="auto"/>
      </w:divBdr>
    </w:div>
    <w:div w:id="434715441">
      <w:bodyDiv w:val="1"/>
      <w:marLeft w:val="0"/>
      <w:marRight w:val="0"/>
      <w:marTop w:val="0"/>
      <w:marBottom w:val="0"/>
      <w:divBdr>
        <w:top w:val="none" w:sz="0" w:space="0" w:color="auto"/>
        <w:left w:val="none" w:sz="0" w:space="0" w:color="auto"/>
        <w:bottom w:val="none" w:sz="0" w:space="0" w:color="auto"/>
        <w:right w:val="none" w:sz="0" w:space="0" w:color="auto"/>
      </w:divBdr>
    </w:div>
    <w:div w:id="177119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C@watech.w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OC@watech.w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WaTech.w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C306BFFF81404188B4CF4BD82C1CB2" ma:contentTypeVersion="0" ma:contentTypeDescription="Create a new document." ma:contentTypeScope="" ma:versionID="be61921420e9a04acae58030b54dc1f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95B12E-3BEC-492F-8F2E-2F17C9DA2A40}">
  <ds:schemaRefs>
    <ds:schemaRef ds:uri="http://schemas.openxmlformats.org/officeDocument/2006/bibliography"/>
  </ds:schemaRefs>
</ds:datastoreItem>
</file>

<file path=customXml/itemProps2.xml><?xml version="1.0" encoding="utf-8"?>
<ds:datastoreItem xmlns:ds="http://schemas.openxmlformats.org/officeDocument/2006/customXml" ds:itemID="{ABE0D969-378A-4820-BA3E-BC3330213BE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A2A9B71-677E-47AB-9D16-8E5DFE4AB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5C9EB69-AEAC-496C-A9DE-4C53802F4B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4399</Words>
  <Characters>26969</Characters>
  <Application>Microsoft Office Word</Application>
  <DocSecurity>0</DocSecurity>
  <Lines>2451</Lines>
  <Paragraphs>591</Paragraphs>
  <ScaleCrop>false</ScaleCrop>
  <HeadingPairs>
    <vt:vector size="2" baseType="variant">
      <vt:variant>
        <vt:lpstr>Title</vt:lpstr>
      </vt:variant>
      <vt:variant>
        <vt:i4>1</vt:i4>
      </vt:variant>
    </vt:vector>
  </HeadingPairs>
  <TitlesOfParts>
    <vt:vector size="1" baseType="lpstr">
      <vt:lpstr/>
    </vt:vector>
  </TitlesOfParts>
  <Company>Fuse Networks</Company>
  <LinksUpToDate>false</LinksUpToDate>
  <CharactersWithSpaces>30777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O'Keeffe, Rich (WaTech)</dc:creator>
  <cp:lastModifiedBy>Steele, Susan (WaTech)</cp:lastModifiedBy>
  <cp:revision>2</cp:revision>
  <cp:lastPrinted>2018-08-06T15:34:00Z</cp:lastPrinted>
  <dcterms:created xsi:type="dcterms:W3CDTF">2024-12-11T18:45:00Z</dcterms:created>
  <dcterms:modified xsi:type="dcterms:W3CDTF">2024-12-11T18:45:00Z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0x01010083C306BFFF81404188B4CF4BD82C1CB2</vt:lpwstr>
  </property>
  <property fmtid="{D5CDD505-2E9C-101B-9397-08002B2CF9AE}" pid="3" name="MSIP_Label_1520fa42-cf58-4c22-8b93-58cf1d3bd1cb_Enabled">
    <vt:lpwstr>true</vt:lpwstr>
  </property>
  <property fmtid="{D5CDD505-2E9C-101B-9397-08002B2CF9AE}" pid="4" name="MSIP_Label_1520fa42-cf58-4c22-8b93-58cf1d3bd1cb_SetDate">
    <vt:lpwstr>2021-10-12T19:06:47Z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13b16318-1208-4789-b9d9-bdfda3e301fc</vt:lpwstr>
  </property>
  <property fmtid="{D5CDD505-2E9C-101B-9397-08002B2CF9AE}" pid="9" name="MSIP_Label_1520fa42-cf58-4c22-8b93-58cf1d3bd1cb_ContentBits">
    <vt:lpwstr>0</vt:lpwstr>
  </property>
</Properties>
</file>