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8FDD" w14:textId="3474D28E" w:rsidR="00A83A81" w:rsidRDefault="00710B56" w:rsidP="004D47E8">
      <w:pPr>
        <w:jc w:val="center"/>
        <w:rPr>
          <w:b/>
          <w:sz w:val="36"/>
        </w:rPr>
      </w:pPr>
      <w:r>
        <w:rPr>
          <w:b/>
          <w:sz w:val="36"/>
        </w:rPr>
        <w:t>Network</w:t>
      </w:r>
      <w:r w:rsidR="00A83A81">
        <w:rPr>
          <w:b/>
          <w:sz w:val="36"/>
        </w:rPr>
        <w:t xml:space="preserve"> Services Agreement </w:t>
      </w:r>
      <w:r w:rsidR="00BB2DF2">
        <w:rPr>
          <w:b/>
          <w:sz w:val="36"/>
        </w:rPr>
        <w:t>2</w:t>
      </w:r>
      <w:r w:rsidR="00411EC2">
        <w:rPr>
          <w:b/>
          <w:sz w:val="36"/>
        </w:rPr>
        <w:t>5</w:t>
      </w:r>
      <w:r w:rsidR="00BB2DF2">
        <w:rPr>
          <w:b/>
          <w:sz w:val="36"/>
        </w:rPr>
        <w:t>-XXX</w:t>
      </w:r>
    </w:p>
    <w:p w14:paraId="6C0AD578" w14:textId="77777777" w:rsidR="004D47E8" w:rsidRPr="005A721C" w:rsidRDefault="00A83A81" w:rsidP="004D47E8">
      <w:pPr>
        <w:jc w:val="center"/>
        <w:rPr>
          <w:b/>
          <w:sz w:val="36"/>
        </w:rPr>
      </w:pPr>
      <w:r>
        <w:rPr>
          <w:b/>
          <w:sz w:val="36"/>
        </w:rPr>
        <w:t xml:space="preserve">Addendum 04 - </w:t>
      </w:r>
      <w:r w:rsidR="004D47E8">
        <w:rPr>
          <w:b/>
          <w:sz w:val="36"/>
        </w:rPr>
        <w:t xml:space="preserve">Broadband ISP </w:t>
      </w:r>
      <w:r w:rsidR="005B732C">
        <w:rPr>
          <w:b/>
          <w:sz w:val="36"/>
        </w:rPr>
        <w:t>Services</w:t>
      </w:r>
    </w:p>
    <w:p w14:paraId="76AC41AB" w14:textId="77777777" w:rsidR="004D47E8" w:rsidRPr="005A721C" w:rsidRDefault="004D47E8" w:rsidP="004D47E8">
      <w:pPr>
        <w:rPr>
          <w:sz w:val="24"/>
          <w:szCs w:val="24"/>
        </w:rPr>
      </w:pPr>
      <w:bookmarkStart w:id="0" w:name="_Toc527528807"/>
      <w:bookmarkStart w:id="1" w:name="_Toc527528940"/>
      <w:bookmarkStart w:id="2" w:name="_Toc535111021"/>
      <w:bookmarkStart w:id="3" w:name="_Toc181615121"/>
    </w:p>
    <w:p w14:paraId="49603EAC" w14:textId="3E60F21E" w:rsidR="004D47E8" w:rsidRPr="00B62856" w:rsidRDefault="004D47E8" w:rsidP="00B62856">
      <w:pPr>
        <w:pStyle w:val="Heading1para"/>
        <w:ind w:left="0"/>
        <w:rPr>
          <w:sz w:val="24"/>
          <w:szCs w:val="24"/>
        </w:rPr>
      </w:pPr>
      <w:r w:rsidRPr="005A721C">
        <w:rPr>
          <w:sz w:val="24"/>
          <w:szCs w:val="24"/>
        </w:rPr>
        <w:t xml:space="preserve">This Addendum sets forth the terms governing all </w:t>
      </w:r>
      <w:r>
        <w:rPr>
          <w:sz w:val="24"/>
          <w:szCs w:val="24"/>
        </w:rPr>
        <w:t xml:space="preserve">Broadband ISP </w:t>
      </w:r>
      <w:r w:rsidRPr="005A721C">
        <w:rPr>
          <w:sz w:val="24"/>
          <w:szCs w:val="24"/>
        </w:rPr>
        <w:t>services provided pursuant to an awarded Statement of Work</w:t>
      </w:r>
      <w:r>
        <w:rPr>
          <w:sz w:val="24"/>
          <w:szCs w:val="24"/>
        </w:rPr>
        <w:t xml:space="preserve"> </w:t>
      </w:r>
      <w:r w:rsidRPr="005A721C">
        <w:rPr>
          <w:sz w:val="24"/>
          <w:szCs w:val="24"/>
        </w:rPr>
        <w:t xml:space="preserve">(SOW). The </w:t>
      </w:r>
      <w:r>
        <w:rPr>
          <w:sz w:val="24"/>
          <w:szCs w:val="24"/>
        </w:rPr>
        <w:t>Contractor</w:t>
      </w:r>
      <w:r w:rsidRPr="005A721C">
        <w:rPr>
          <w:sz w:val="24"/>
          <w:szCs w:val="24"/>
        </w:rPr>
        <w:t xml:space="preserve"> represents that the </w:t>
      </w:r>
      <w:r>
        <w:rPr>
          <w:sz w:val="24"/>
          <w:szCs w:val="24"/>
        </w:rPr>
        <w:t>S</w:t>
      </w:r>
      <w:r w:rsidRPr="005A721C">
        <w:rPr>
          <w:sz w:val="24"/>
          <w:szCs w:val="24"/>
        </w:rPr>
        <w:t xml:space="preserve">ervices provided under such </w:t>
      </w:r>
      <w:r w:rsidRPr="00401318">
        <w:rPr>
          <w:sz w:val="24"/>
          <w:szCs w:val="24"/>
        </w:rPr>
        <w:t xml:space="preserve">SOW shall be performed </w:t>
      </w:r>
      <w:r w:rsidRPr="00A73F23">
        <w:rPr>
          <w:sz w:val="24"/>
          <w:szCs w:val="24"/>
        </w:rPr>
        <w:t>in a m</w:t>
      </w:r>
      <w:r>
        <w:rPr>
          <w:sz w:val="24"/>
          <w:szCs w:val="24"/>
        </w:rPr>
        <w:t>a</w:t>
      </w:r>
      <w:r w:rsidRPr="00A73F23">
        <w:rPr>
          <w:sz w:val="24"/>
          <w:szCs w:val="24"/>
        </w:rPr>
        <w:t xml:space="preserve">nner </w:t>
      </w:r>
      <w:r w:rsidRPr="00401318">
        <w:rPr>
          <w:sz w:val="24"/>
          <w:szCs w:val="24"/>
        </w:rPr>
        <w:t xml:space="preserve">consistent with the following terms. This Addendum incorporates by reference the </w:t>
      </w:r>
      <w:r w:rsidR="00710B56">
        <w:rPr>
          <w:sz w:val="24"/>
          <w:szCs w:val="24"/>
        </w:rPr>
        <w:t>Network</w:t>
      </w:r>
      <w:r w:rsidRPr="00401318">
        <w:rPr>
          <w:sz w:val="24"/>
          <w:szCs w:val="24"/>
        </w:rPr>
        <w:t xml:space="preserve"> Service Agreement</w:t>
      </w:r>
      <w:r w:rsidR="009C5E88">
        <w:rPr>
          <w:sz w:val="24"/>
          <w:szCs w:val="24"/>
        </w:rPr>
        <w:t xml:space="preserve"> (the “</w:t>
      </w:r>
      <w:r w:rsidR="00710B56">
        <w:rPr>
          <w:sz w:val="24"/>
          <w:szCs w:val="24"/>
        </w:rPr>
        <w:t>NSA</w:t>
      </w:r>
      <w:r w:rsidR="009C5E88">
        <w:rPr>
          <w:sz w:val="24"/>
          <w:szCs w:val="24"/>
        </w:rPr>
        <w:t>”)</w:t>
      </w:r>
      <w:r w:rsidRPr="00401318">
        <w:rPr>
          <w:sz w:val="24"/>
          <w:szCs w:val="24"/>
        </w:rPr>
        <w:t>.</w:t>
      </w:r>
      <w:r w:rsidR="009C5E88">
        <w:rPr>
          <w:sz w:val="24"/>
          <w:szCs w:val="24"/>
        </w:rPr>
        <w:t xml:space="preserve"> Capitalized terms used, but not otherwise defined herein, shall have the meanings ascribed to them in the </w:t>
      </w:r>
      <w:r w:rsidR="00710B56">
        <w:rPr>
          <w:sz w:val="24"/>
          <w:szCs w:val="24"/>
        </w:rPr>
        <w:t>NSA</w:t>
      </w:r>
      <w:r w:rsidR="009C5E88">
        <w:rPr>
          <w:sz w:val="24"/>
          <w:szCs w:val="24"/>
        </w:rPr>
        <w:t xml:space="preserve">. </w:t>
      </w:r>
      <w:r w:rsidR="00B62856" w:rsidRPr="00B62856">
        <w:rPr>
          <w:sz w:val="24"/>
          <w:szCs w:val="24"/>
        </w:rPr>
        <w:t>Nothing in this Addendum shall be construed to impose any obligations on Contractor with respect to Broadband ISP services provided to third parties</w:t>
      </w:r>
      <w:r w:rsidR="00923175">
        <w:rPr>
          <w:sz w:val="24"/>
          <w:szCs w:val="24"/>
        </w:rPr>
        <w:t xml:space="preserve"> (i.e., parties other than </w:t>
      </w:r>
      <w:r w:rsidR="00523269">
        <w:rPr>
          <w:sz w:val="24"/>
          <w:szCs w:val="24"/>
        </w:rPr>
        <w:t>WaTech</w:t>
      </w:r>
      <w:r w:rsidR="00923175">
        <w:rPr>
          <w:sz w:val="24"/>
          <w:szCs w:val="24"/>
        </w:rPr>
        <w:t xml:space="preserve"> and </w:t>
      </w:r>
      <w:r w:rsidR="00523269">
        <w:rPr>
          <w:sz w:val="24"/>
          <w:szCs w:val="24"/>
        </w:rPr>
        <w:t>WaTech</w:t>
      </w:r>
      <w:r w:rsidR="00923175">
        <w:rPr>
          <w:sz w:val="24"/>
          <w:szCs w:val="24"/>
        </w:rPr>
        <w:t xml:space="preserve"> Users)</w:t>
      </w:r>
      <w:r w:rsidR="00B62856" w:rsidRPr="00B62856">
        <w:rPr>
          <w:sz w:val="24"/>
          <w:szCs w:val="24"/>
        </w:rPr>
        <w:t>.</w:t>
      </w:r>
    </w:p>
    <w:p w14:paraId="0C512893" w14:textId="77777777" w:rsidR="009C5E88" w:rsidRDefault="004D47E8" w:rsidP="009C5E88">
      <w:pPr>
        <w:pStyle w:val="Heading1"/>
      </w:pPr>
      <w:bookmarkStart w:id="4" w:name="_Toc467155053"/>
      <w:bookmarkStart w:id="5" w:name="_Toc478573229"/>
      <w:r w:rsidRPr="007427FB">
        <w:t>Definition of Terms</w:t>
      </w:r>
      <w:bookmarkEnd w:id="4"/>
      <w:bookmarkEnd w:id="5"/>
    </w:p>
    <w:p w14:paraId="208E4BF2" w14:textId="77777777" w:rsidR="00E51420" w:rsidRDefault="003D620A" w:rsidP="004D47E8">
      <w:pPr>
        <w:pStyle w:val="Heading1para"/>
      </w:pPr>
      <w:r>
        <w:rPr>
          <w:b/>
        </w:rPr>
        <w:t xml:space="preserve">“Broadband” </w:t>
      </w:r>
      <w:r>
        <w:t xml:space="preserve">provides internet access that is always on and faster than the traditional dial-up access.  Broadband technology can support a wide range of frequencies; it is used to transmit data, voice and video over long distances simultaneously.  Broadband will have a minimum connection with speeds of 25 megabits down and 3 megabits up.  Types of broadband </w:t>
      </w:r>
      <w:proofErr w:type="gramStart"/>
      <w:r>
        <w:t>include:</w:t>
      </w:r>
      <w:proofErr w:type="gramEnd"/>
      <w:r>
        <w:t xml:space="preserve"> digital subscriber lines (DSL), such as the asymmetrical digital subscriber line and symmetrical digital subscriber line, cable modems, and fiber.</w:t>
      </w:r>
      <w:r w:rsidR="009C5E88" w:rsidDel="009C5E88">
        <w:t xml:space="preserve"> </w:t>
      </w:r>
    </w:p>
    <w:p w14:paraId="0E0453C4" w14:textId="77777777" w:rsidR="004D47E8" w:rsidRDefault="004D47E8" w:rsidP="004D47E8">
      <w:pPr>
        <w:pStyle w:val="Heading1para"/>
      </w:pPr>
      <w:r>
        <w:rPr>
          <w:b/>
        </w:rPr>
        <w:t>“Broadband ISP</w:t>
      </w:r>
      <w:r>
        <w:t>”</w:t>
      </w:r>
      <w:r w:rsidRPr="00D14D02">
        <w:t xml:space="preserve"> </w:t>
      </w:r>
      <w:r>
        <w:t>shall mean</w:t>
      </w:r>
      <w:r w:rsidRPr="004A455D">
        <w:t xml:space="preserve"> any high-speed Internet access that is always on and faster than traditional dial-up access.</w:t>
      </w:r>
    </w:p>
    <w:p w14:paraId="570E394E" w14:textId="77777777" w:rsidR="00E51420" w:rsidRDefault="00337F96" w:rsidP="006D777B">
      <w:pPr>
        <w:pStyle w:val="Heading1para"/>
      </w:pPr>
      <w:r>
        <w:t>"</w:t>
      </w:r>
      <w:r w:rsidR="00F57DD5" w:rsidRPr="0007157A">
        <w:rPr>
          <w:b/>
        </w:rPr>
        <w:t>S</w:t>
      </w:r>
      <w:r w:rsidRPr="00E51420">
        <w:rPr>
          <w:b/>
        </w:rPr>
        <w:t>ervice Interruption</w:t>
      </w:r>
      <w:r>
        <w:t>" shall mean a break in transmission that renders the Service unusable for transmission and reception.</w:t>
      </w:r>
    </w:p>
    <w:p w14:paraId="57B93A87" w14:textId="1CDE2EE3" w:rsidR="004D47E8" w:rsidRPr="005A721C" w:rsidRDefault="004D47E8" w:rsidP="006D777B">
      <w:pPr>
        <w:pStyle w:val="Heading1para"/>
      </w:pPr>
      <w:r w:rsidRPr="005A721C">
        <w:t>“</w:t>
      </w:r>
      <w:r w:rsidRPr="005A721C">
        <w:rPr>
          <w:b/>
        </w:rPr>
        <w:t>TLA Period</w:t>
      </w:r>
      <w:r w:rsidRPr="005A721C">
        <w:t xml:space="preserve">” </w:t>
      </w:r>
      <w:r>
        <w:t>shall mean the</w:t>
      </w:r>
      <w:r w:rsidRPr="005A721C">
        <w:t xml:space="preserve"> period </w:t>
      </w:r>
      <w:r>
        <w:t xml:space="preserve">remaining in </w:t>
      </w:r>
      <w:r w:rsidR="00260B8F">
        <w:t>a Service</w:t>
      </w:r>
      <w:r>
        <w:t xml:space="preserve"> Term for</w:t>
      </w:r>
      <w:r w:rsidRPr="005A721C">
        <w:t xml:space="preserve"> which </w:t>
      </w:r>
      <w:r w:rsidR="00523269">
        <w:t>WaTech</w:t>
      </w:r>
      <w:r>
        <w:t xml:space="preserve"> may be assessed </w:t>
      </w:r>
      <w:r w:rsidRPr="005A721C">
        <w:t xml:space="preserve">a fee </w:t>
      </w:r>
      <w:r>
        <w:t xml:space="preserve">due to an early termination of an applicable Statement of Work not due </w:t>
      </w:r>
      <w:r w:rsidR="009C5E88">
        <w:t xml:space="preserve">to a termination by </w:t>
      </w:r>
      <w:r w:rsidR="00523269">
        <w:t>WaTech</w:t>
      </w:r>
      <w:r w:rsidR="009C5E88">
        <w:t xml:space="preserve"> pursuant to Section 56, Section 58, Section 59 or Section 60</w:t>
      </w:r>
      <w:r w:rsidR="00CE18C3">
        <w:t xml:space="preserve"> of the </w:t>
      </w:r>
      <w:r w:rsidR="00710B56">
        <w:t>NSA</w:t>
      </w:r>
      <w:r>
        <w:t>.</w:t>
      </w:r>
    </w:p>
    <w:p w14:paraId="78073B09" w14:textId="77777777" w:rsidR="0083141E" w:rsidRPr="005A721C" w:rsidRDefault="0083141E" w:rsidP="0083141E">
      <w:pPr>
        <w:pStyle w:val="Heading1"/>
      </w:pPr>
      <w:bookmarkStart w:id="6" w:name="_Toc467155054"/>
      <w:bookmarkStart w:id="7" w:name="_Toc478573230"/>
      <w:r w:rsidRPr="005A721C">
        <w:t>Statement of Work (“SOW”)</w:t>
      </w:r>
    </w:p>
    <w:p w14:paraId="4870BAFC" w14:textId="02C40C93" w:rsidR="0083141E" w:rsidRPr="00D4081F" w:rsidRDefault="0083141E" w:rsidP="008F0061">
      <w:pPr>
        <w:pStyle w:val="Heading2"/>
        <w:tabs>
          <w:tab w:val="num" w:pos="1620"/>
        </w:tabs>
        <w:ind w:left="1620"/>
      </w:pPr>
      <w:r w:rsidRPr="00D4081F">
        <w:t xml:space="preserve">All Services shall be performed pursuant to the terms of this Contract and shall be documented in an SOW or other order document established between </w:t>
      </w:r>
      <w:r w:rsidR="00523269">
        <w:t>WaTech</w:t>
      </w:r>
      <w:r w:rsidRPr="00D4081F">
        <w:t xml:space="preserve"> and </w:t>
      </w:r>
      <w:r>
        <w:t>Contractor</w:t>
      </w:r>
      <w:r w:rsidRPr="00D4081F">
        <w:rPr>
          <w:i/>
        </w:rPr>
        <w:t>.</w:t>
      </w:r>
    </w:p>
    <w:p w14:paraId="27C232FC" w14:textId="77777777" w:rsidR="0083141E" w:rsidRPr="00D4081F" w:rsidRDefault="0083141E" w:rsidP="0083141E">
      <w:pPr>
        <w:pStyle w:val="Heading2"/>
        <w:tabs>
          <w:tab w:val="num" w:pos="1620"/>
        </w:tabs>
        <w:ind w:left="1620"/>
      </w:pPr>
      <w:r w:rsidRPr="00D4081F">
        <w:t xml:space="preserve">No work shall be performed by </w:t>
      </w:r>
      <w:r>
        <w:t>Contractor</w:t>
      </w:r>
      <w:r w:rsidRPr="00D4081F">
        <w:t xml:space="preserve"> until:</w:t>
      </w:r>
    </w:p>
    <w:p w14:paraId="602AB46D" w14:textId="7851A884" w:rsidR="0083141E" w:rsidRPr="00D4081F" w:rsidRDefault="0083141E" w:rsidP="00DA430B">
      <w:pPr>
        <w:pStyle w:val="Heading2"/>
        <w:numPr>
          <w:ilvl w:val="0"/>
          <w:numId w:val="5"/>
        </w:numPr>
        <w:tabs>
          <w:tab w:val="clear" w:pos="1620"/>
        </w:tabs>
      </w:pPr>
      <w:r>
        <w:t>A</w:t>
      </w:r>
      <w:r w:rsidRPr="00D4081F">
        <w:t xml:space="preserve"> SOW is executed by </w:t>
      </w:r>
      <w:r>
        <w:t>Contractor</w:t>
      </w:r>
      <w:r w:rsidRPr="00D4081F">
        <w:t xml:space="preserve"> and </w:t>
      </w:r>
      <w:r w:rsidR="00523269">
        <w:t>WaTech</w:t>
      </w:r>
      <w:r w:rsidRPr="00D4081F">
        <w:t xml:space="preserve"> and</w:t>
      </w:r>
    </w:p>
    <w:p w14:paraId="6158B35B" w14:textId="77777777" w:rsidR="0083141E" w:rsidRPr="00D4081F" w:rsidRDefault="005219C4" w:rsidP="00DA430B">
      <w:pPr>
        <w:pStyle w:val="Heading2"/>
        <w:numPr>
          <w:ilvl w:val="0"/>
          <w:numId w:val="5"/>
        </w:numPr>
        <w:tabs>
          <w:tab w:val="clear" w:pos="1620"/>
        </w:tabs>
      </w:pPr>
      <w:r>
        <w:t>T</w:t>
      </w:r>
      <w:r w:rsidR="0083141E" w:rsidRPr="00D4081F">
        <w:t xml:space="preserve">he </w:t>
      </w:r>
      <w:r w:rsidR="0083141E">
        <w:t xml:space="preserve">executed </w:t>
      </w:r>
      <w:r w:rsidR="0083141E" w:rsidRPr="00D4081F">
        <w:t xml:space="preserve">SOW is received by </w:t>
      </w:r>
      <w:r w:rsidR="0083141E">
        <w:t>Contractor</w:t>
      </w:r>
      <w:r w:rsidR="0083141E" w:rsidRPr="00D4081F">
        <w:t xml:space="preserve"> and</w:t>
      </w:r>
    </w:p>
    <w:p w14:paraId="22E58A45" w14:textId="6D51BA62" w:rsidR="0083141E" w:rsidRPr="00D4081F" w:rsidRDefault="00523269" w:rsidP="00DA430B">
      <w:pPr>
        <w:pStyle w:val="Heading2"/>
        <w:numPr>
          <w:ilvl w:val="0"/>
          <w:numId w:val="5"/>
        </w:numPr>
        <w:tabs>
          <w:tab w:val="clear" w:pos="1620"/>
        </w:tabs>
      </w:pPr>
      <w:r>
        <w:t>WaTech</w:t>
      </w:r>
      <w:r w:rsidR="0083141E" w:rsidRPr="00D4081F">
        <w:t xml:space="preserve"> electronically sends a Tech Order to the </w:t>
      </w:r>
      <w:r w:rsidR="0083141E">
        <w:t>Contractor</w:t>
      </w:r>
    </w:p>
    <w:p w14:paraId="5AF6353C" w14:textId="7CD78573" w:rsidR="0083141E" w:rsidRPr="00D4081F" w:rsidRDefault="0083141E" w:rsidP="0083141E">
      <w:pPr>
        <w:pStyle w:val="Heading2"/>
        <w:tabs>
          <w:tab w:val="num" w:pos="1620"/>
        </w:tabs>
        <w:ind w:left="1620"/>
      </w:pPr>
      <w:r w:rsidRPr="00D4081F">
        <w:t xml:space="preserve">ASV will deliver all signed SOW documents electronically to </w:t>
      </w:r>
      <w:r w:rsidR="00523269">
        <w:t>WaTech</w:t>
      </w:r>
      <w:r w:rsidRPr="00D4081F">
        <w:t>.</w:t>
      </w:r>
    </w:p>
    <w:p w14:paraId="3265132B" w14:textId="5A021607" w:rsidR="00F57DD5" w:rsidRPr="00D4081F" w:rsidRDefault="00F57DD5" w:rsidP="00F57DD5">
      <w:pPr>
        <w:pStyle w:val="Heading2"/>
        <w:tabs>
          <w:tab w:val="num" w:pos="1620"/>
        </w:tabs>
        <w:ind w:left="1620"/>
        <w:jc w:val="both"/>
      </w:pPr>
      <w:r w:rsidRPr="004C776B">
        <w:t xml:space="preserve">If the ASV fails to sign and electronically return the SOW for more than </w:t>
      </w:r>
      <w:r>
        <w:t>thirty</w:t>
      </w:r>
      <w:r w:rsidRPr="004C776B">
        <w:t xml:space="preserve"> (</w:t>
      </w:r>
      <w:r>
        <w:t>30</w:t>
      </w:r>
      <w:r w:rsidRPr="004C776B">
        <w:t xml:space="preserve">) days from </w:t>
      </w:r>
      <w:r w:rsidR="00523269">
        <w:t>WaTech</w:t>
      </w:r>
      <w:r w:rsidRPr="004C776B">
        <w:t xml:space="preserve"> sending the SOW, the ASV </w:t>
      </w:r>
      <w:r>
        <w:t>may</w:t>
      </w:r>
      <w:r w:rsidRPr="004C776B">
        <w:t xml:space="preserve"> be </w:t>
      </w:r>
      <w:r>
        <w:t>cancelled with respect to such SOW</w:t>
      </w:r>
      <w:r w:rsidRPr="004C776B">
        <w:t xml:space="preserve">. </w:t>
      </w:r>
      <w:r w:rsidRPr="00162FBD">
        <w:t xml:space="preserve"> </w:t>
      </w:r>
      <w:r w:rsidRPr="004C776B">
        <w:t xml:space="preserve">Multiple failures to timely return a signed SOW may </w:t>
      </w:r>
      <w:r w:rsidRPr="00A73F23">
        <w:t>consistute</w:t>
      </w:r>
      <w:r w:rsidRPr="00401318">
        <w:t xml:space="preserve"> in a material breach</w:t>
      </w:r>
      <w:r w:rsidRPr="004C776B">
        <w:t xml:space="preserve"> and termination of </w:t>
      </w:r>
      <w:r>
        <w:t xml:space="preserve">this Technical Addendum in </w:t>
      </w:r>
      <w:r w:rsidR="00523269">
        <w:t>WaTech’s</w:t>
      </w:r>
      <w:r>
        <w:t xml:space="preserve"> sole discretion. Without limiting the foregoing, the parties acknowledge and agree that a failure, or multiple failures, to return a signed SOW shall not constitute a material breach of the </w:t>
      </w:r>
      <w:r w:rsidR="00710B56">
        <w:t>NSA</w:t>
      </w:r>
      <w:r>
        <w:t xml:space="preserve"> or grant </w:t>
      </w:r>
      <w:r w:rsidR="00523269">
        <w:t>WaTech</w:t>
      </w:r>
      <w:r>
        <w:t xml:space="preserve"> a right to terminate the </w:t>
      </w:r>
      <w:r w:rsidR="00710B56">
        <w:t>NSA</w:t>
      </w:r>
      <w:r>
        <w:t xml:space="preserve">.  </w:t>
      </w:r>
    </w:p>
    <w:p w14:paraId="6A9D2053" w14:textId="05C640E7" w:rsidR="0083141E" w:rsidRPr="00D4081F" w:rsidRDefault="0083141E" w:rsidP="0083141E">
      <w:pPr>
        <w:pStyle w:val="Heading2"/>
        <w:tabs>
          <w:tab w:val="num" w:pos="1620"/>
        </w:tabs>
        <w:ind w:left="1620"/>
      </w:pPr>
      <w:r w:rsidRPr="00D4081F">
        <w:lastRenderedPageBreak/>
        <w:t xml:space="preserve">A SOW’s initial Service Term shall be </w:t>
      </w:r>
      <w:r w:rsidR="00113CC8">
        <w:t>thirty six</w:t>
      </w:r>
      <w:r w:rsidRPr="00D4081F">
        <w:t xml:space="preserve"> (</w:t>
      </w:r>
      <w:r w:rsidR="00113CC8">
        <w:t>36</w:t>
      </w:r>
      <w:r w:rsidRPr="00D4081F">
        <w:t xml:space="preserve">) months, commencing upon the Effective Date of the </w:t>
      </w:r>
      <w:r>
        <w:t xml:space="preserve">Service Acceptance </w:t>
      </w:r>
      <w:r w:rsidRPr="00D4081F">
        <w:t xml:space="preserve">unless otherwise set forth in the </w:t>
      </w:r>
      <w:r w:rsidR="00523269">
        <w:t>WaTech</w:t>
      </w:r>
      <w:r w:rsidRPr="00D4081F">
        <w:t xml:space="preserve"> Procurement Document.</w:t>
      </w:r>
    </w:p>
    <w:p w14:paraId="28EE09D6" w14:textId="77777777" w:rsidR="004D47E8" w:rsidRPr="005A721C" w:rsidRDefault="004D47E8" w:rsidP="004D47E8">
      <w:pPr>
        <w:pStyle w:val="Heading1"/>
        <w:suppressAutoHyphens/>
        <w:rPr>
          <w:noProof w:val="0"/>
          <w:color w:val="000000"/>
        </w:rPr>
      </w:pPr>
      <w:bookmarkStart w:id="8" w:name="_Toc467155056"/>
      <w:bookmarkStart w:id="9" w:name="_Toc478573232"/>
      <w:bookmarkEnd w:id="6"/>
      <w:bookmarkEnd w:id="7"/>
      <w:r>
        <w:rPr>
          <w:noProof w:val="0"/>
          <w:color w:val="000000"/>
        </w:rPr>
        <w:t>Supplemental Bandwidth</w:t>
      </w:r>
      <w:bookmarkEnd w:id="8"/>
      <w:bookmarkEnd w:id="9"/>
    </w:p>
    <w:p w14:paraId="4EFC2FFB" w14:textId="299B076D" w:rsidR="004D47E8" w:rsidRPr="00124DA9" w:rsidRDefault="00523269" w:rsidP="004D47E8">
      <w:pPr>
        <w:pStyle w:val="Heading1para"/>
        <w:rPr>
          <w:sz w:val="20"/>
        </w:rPr>
      </w:pPr>
      <w:r>
        <w:rPr>
          <w:szCs w:val="24"/>
        </w:rPr>
        <w:t>WaTech</w:t>
      </w:r>
      <w:r w:rsidR="004D47E8" w:rsidRPr="00124DA9">
        <w:rPr>
          <w:szCs w:val="24"/>
        </w:rPr>
        <w:t xml:space="preserve"> may request potential upgrade options for service in addition to the initial request in the </w:t>
      </w:r>
      <w:r>
        <w:rPr>
          <w:szCs w:val="24"/>
        </w:rPr>
        <w:t>WaTech</w:t>
      </w:r>
      <w:r w:rsidR="004D47E8" w:rsidRPr="00124DA9">
        <w:rPr>
          <w:szCs w:val="24"/>
        </w:rPr>
        <w:t xml:space="preserve"> Procurement Document. </w:t>
      </w:r>
      <w:r>
        <w:rPr>
          <w:szCs w:val="24"/>
        </w:rPr>
        <w:t>WaTech</w:t>
      </w:r>
      <w:r w:rsidR="004D47E8" w:rsidRPr="00124DA9">
        <w:rPr>
          <w:szCs w:val="24"/>
        </w:rPr>
        <w:t xml:space="preserve"> Procurement Document responses shall include potential upgrade options listed as supplemental bandwidths. </w:t>
      </w:r>
    </w:p>
    <w:p w14:paraId="3BC996D6" w14:textId="10A2B8E3" w:rsidR="004D47E8" w:rsidRDefault="004D47E8" w:rsidP="004D47E8">
      <w:pPr>
        <w:pStyle w:val="Heading1"/>
        <w:suppressAutoHyphens/>
        <w:rPr>
          <w:noProof w:val="0"/>
          <w:color w:val="000000"/>
        </w:rPr>
      </w:pPr>
      <w:bookmarkStart w:id="10" w:name="_Toc467155057"/>
      <w:bookmarkStart w:id="11" w:name="_Toc478573233"/>
      <w:r w:rsidRPr="005A721C">
        <w:rPr>
          <w:noProof w:val="0"/>
          <w:color w:val="000000"/>
        </w:rPr>
        <w:t>Termination Liability Assessment (“TLA”)</w:t>
      </w:r>
      <w:bookmarkEnd w:id="10"/>
      <w:bookmarkEnd w:id="11"/>
    </w:p>
    <w:p w14:paraId="3FAC63BD" w14:textId="4D9B8693" w:rsidR="00F57DD5" w:rsidRPr="0083141E" w:rsidRDefault="00F57DD5" w:rsidP="00F57DD5">
      <w:pPr>
        <w:pStyle w:val="Heading2"/>
        <w:tabs>
          <w:tab w:val="num" w:pos="1620"/>
        </w:tabs>
        <w:ind w:left="1620"/>
      </w:pPr>
      <w:r w:rsidRPr="00D4081F">
        <w:t xml:space="preserve">TLA </w:t>
      </w:r>
      <w:r w:rsidR="005270EE">
        <w:t>Assessment</w:t>
      </w:r>
    </w:p>
    <w:p w14:paraId="537B14E3" w14:textId="77777777" w:rsidR="00F57DD5" w:rsidRDefault="00F57DD5" w:rsidP="00F57DD5">
      <w:pPr>
        <w:pStyle w:val="Heading2"/>
        <w:numPr>
          <w:ilvl w:val="0"/>
          <w:numId w:val="0"/>
        </w:numPr>
        <w:ind w:left="1440"/>
      </w:pPr>
      <w:r>
        <w:t>Termination Liability Assessment (“</w:t>
      </w:r>
      <w:r w:rsidRPr="00D4081F">
        <w:t>TLA</w:t>
      </w:r>
      <w:r>
        <w:t>”)</w:t>
      </w:r>
      <w:r w:rsidRPr="00D4081F">
        <w:t xml:space="preserve"> for </w:t>
      </w:r>
      <w:r>
        <w:t>S</w:t>
      </w:r>
      <w:r w:rsidRPr="00D4081F">
        <w:t>ervices will be</w:t>
      </w:r>
      <w:r w:rsidR="00214A27">
        <w:t xml:space="preserve"> two thousand dollars </w:t>
      </w:r>
      <w:r>
        <w:t xml:space="preserve"> </w:t>
      </w:r>
      <w:r w:rsidR="00214A27">
        <w:t>(</w:t>
      </w:r>
      <w:r>
        <w:t>$2</w:t>
      </w:r>
      <w:r w:rsidR="0007157A">
        <w:t>,</w:t>
      </w:r>
      <w:r>
        <w:t>000</w:t>
      </w:r>
      <w:r w:rsidR="00214A27">
        <w:t>)</w:t>
      </w:r>
      <w:r>
        <w:t xml:space="preserve"> per service location</w:t>
      </w:r>
      <w:r w:rsidRPr="00D4081F">
        <w:t>.</w:t>
      </w:r>
    </w:p>
    <w:p w14:paraId="33DD3064" w14:textId="77777777" w:rsidR="004D47E8" w:rsidRDefault="004D47E8" w:rsidP="004D47E8">
      <w:pPr>
        <w:pStyle w:val="Heading1"/>
        <w:suppressAutoHyphens/>
        <w:rPr>
          <w:color w:val="000000"/>
        </w:rPr>
      </w:pPr>
      <w:bookmarkStart w:id="12" w:name="_Toc467155058"/>
      <w:bookmarkStart w:id="13" w:name="_Toc478573234"/>
      <w:r>
        <w:rPr>
          <w:noProof w:val="0"/>
          <w:color w:val="000000"/>
        </w:rPr>
        <w:t xml:space="preserve">Broadband ISP service requirements </w:t>
      </w:r>
    </w:p>
    <w:p w14:paraId="479643B2" w14:textId="77777777" w:rsidR="00166A0D" w:rsidRDefault="00166A0D" w:rsidP="0083141E">
      <w:pPr>
        <w:pStyle w:val="Heading2"/>
        <w:tabs>
          <w:tab w:val="num" w:pos="1620"/>
        </w:tabs>
        <w:ind w:left="1620"/>
      </w:pPr>
      <w:r>
        <w:t>Modem</w:t>
      </w:r>
    </w:p>
    <w:p w14:paraId="6AAFD58F" w14:textId="77777777" w:rsidR="004D47E8" w:rsidRPr="00166A0D" w:rsidRDefault="004D47E8" w:rsidP="00F57DD5">
      <w:pPr>
        <w:pStyle w:val="Heading2"/>
        <w:numPr>
          <w:ilvl w:val="0"/>
          <w:numId w:val="0"/>
        </w:numPr>
        <w:ind w:left="1620"/>
      </w:pPr>
      <w:r>
        <w:t>Contractor must</w:t>
      </w:r>
      <w:r w:rsidRPr="00EB391D">
        <w:t xml:space="preserve"> include</w:t>
      </w:r>
      <w:r>
        <w:t xml:space="preserve"> </w:t>
      </w:r>
      <w:r w:rsidRPr="00EB391D">
        <w:t>Modem (DOCSIS 3.</w:t>
      </w:r>
      <w:r>
        <w:t>1</w:t>
      </w:r>
      <w:r w:rsidRPr="00EB391D">
        <w:t xml:space="preserve"> or better) when the proposed solution is delivered over cable</w:t>
      </w:r>
      <w:r w:rsidR="00166A0D">
        <w:t xml:space="preserve"> as part of </w:t>
      </w:r>
      <w:r w:rsidR="006461AC">
        <w:t xml:space="preserve">the </w:t>
      </w:r>
      <w:r w:rsidR="00166A0D">
        <w:t>offering included in the MRC</w:t>
      </w:r>
      <w:r w:rsidR="00D0124A">
        <w:t>.</w:t>
      </w:r>
    </w:p>
    <w:p w14:paraId="76A0BD3E" w14:textId="77777777" w:rsidR="00166A0D" w:rsidRDefault="00166A0D" w:rsidP="0083141E">
      <w:pPr>
        <w:pStyle w:val="Heading2"/>
        <w:tabs>
          <w:tab w:val="num" w:pos="1620"/>
        </w:tabs>
        <w:ind w:left="1620"/>
      </w:pPr>
      <w:r>
        <w:t>IP Address</w:t>
      </w:r>
    </w:p>
    <w:p w14:paraId="0F88DBC1" w14:textId="77777777" w:rsidR="004D47E8" w:rsidRDefault="00166A0D" w:rsidP="00F57DD5">
      <w:pPr>
        <w:pStyle w:val="Heading2"/>
        <w:numPr>
          <w:ilvl w:val="0"/>
          <w:numId w:val="0"/>
        </w:numPr>
        <w:ind w:left="1620"/>
      </w:pPr>
      <w:r>
        <w:t>Contractor must</w:t>
      </w:r>
      <w:r w:rsidRPr="00EB391D">
        <w:t xml:space="preserve"> include</w:t>
      </w:r>
      <w:r>
        <w:t xml:space="preserve"> o</w:t>
      </w:r>
      <w:r w:rsidR="004D47E8" w:rsidRPr="00EB391D">
        <w:t xml:space="preserve">ne static IP address </w:t>
      </w:r>
      <w:r>
        <w:t>as part of the solution</w:t>
      </w:r>
      <w:r w:rsidR="00D0124A">
        <w:t>.</w:t>
      </w:r>
    </w:p>
    <w:p w14:paraId="106321B4" w14:textId="77777777" w:rsidR="007121C5" w:rsidRPr="0007157A" w:rsidRDefault="007121C5" w:rsidP="00F57DD5">
      <w:pPr>
        <w:pStyle w:val="Heading2"/>
        <w:tabs>
          <w:tab w:val="num" w:pos="1620"/>
        </w:tabs>
        <w:ind w:left="1620"/>
      </w:pPr>
      <w:r w:rsidRPr="0007157A">
        <w:t>No Blocking</w:t>
      </w:r>
    </w:p>
    <w:p w14:paraId="4610BEC5" w14:textId="77777777" w:rsidR="007121C5" w:rsidRPr="0007157A" w:rsidRDefault="00B62856" w:rsidP="00F57DD5">
      <w:pPr>
        <w:pStyle w:val="Heading2"/>
        <w:numPr>
          <w:ilvl w:val="0"/>
          <w:numId w:val="0"/>
        </w:numPr>
        <w:ind w:left="1620"/>
      </w:pPr>
      <w:r>
        <w:t>Contractor</w:t>
      </w:r>
      <w:r w:rsidRPr="0007157A">
        <w:t xml:space="preserve"> </w:t>
      </w:r>
      <w:r w:rsidR="007121C5" w:rsidRPr="0007157A">
        <w:t xml:space="preserve">shall not block lawful content, applications, services, or non-harmful devices subject to reasonable network management. </w:t>
      </w:r>
    </w:p>
    <w:p w14:paraId="0B73773E" w14:textId="77777777" w:rsidR="007121C5" w:rsidRPr="0007157A" w:rsidRDefault="007121C5" w:rsidP="00F57DD5">
      <w:pPr>
        <w:pStyle w:val="Heading2"/>
        <w:tabs>
          <w:tab w:val="num" w:pos="1620"/>
        </w:tabs>
        <w:ind w:left="1620"/>
      </w:pPr>
      <w:r w:rsidRPr="0007157A">
        <w:t>No Throttling</w:t>
      </w:r>
    </w:p>
    <w:p w14:paraId="67B239AC" w14:textId="77777777" w:rsidR="007121C5" w:rsidRPr="0007157A" w:rsidRDefault="00472BD1" w:rsidP="00F57DD5">
      <w:pPr>
        <w:pStyle w:val="Heading2"/>
        <w:numPr>
          <w:ilvl w:val="0"/>
          <w:numId w:val="0"/>
        </w:numPr>
        <w:ind w:left="1620"/>
      </w:pPr>
      <w:r>
        <w:t>Contractor</w:t>
      </w:r>
      <w:r w:rsidRPr="0007157A">
        <w:t xml:space="preserve"> </w:t>
      </w:r>
      <w:r w:rsidR="007121C5" w:rsidRPr="0007157A">
        <w:t xml:space="preserve">shall not impair or degrade lawful internet traffic on the basis of Internet content application, or service, or use a non-harmful device, subject to reasonable network management. </w:t>
      </w:r>
    </w:p>
    <w:p w14:paraId="3B5B6582" w14:textId="77777777" w:rsidR="007121C5" w:rsidRPr="0007157A" w:rsidRDefault="007121C5" w:rsidP="00F57DD5">
      <w:pPr>
        <w:pStyle w:val="Heading2"/>
        <w:tabs>
          <w:tab w:val="num" w:pos="1620"/>
        </w:tabs>
        <w:ind w:left="1620"/>
      </w:pPr>
      <w:r w:rsidRPr="0007157A">
        <w:t>No Paid Prioritization</w:t>
      </w:r>
    </w:p>
    <w:p w14:paraId="3C5206E4" w14:textId="360B29F6" w:rsidR="007121C5" w:rsidRPr="0007157A" w:rsidRDefault="00472BD1" w:rsidP="00F57DD5">
      <w:pPr>
        <w:pStyle w:val="Heading2"/>
        <w:numPr>
          <w:ilvl w:val="0"/>
          <w:numId w:val="0"/>
        </w:numPr>
        <w:ind w:left="1620"/>
      </w:pPr>
      <w:r>
        <w:t>Contractor</w:t>
      </w:r>
      <w:r w:rsidRPr="0007157A">
        <w:t xml:space="preserve"> </w:t>
      </w:r>
      <w:r w:rsidR="007121C5" w:rsidRPr="0007157A">
        <w:t>shall not engage in Paid Prioritization, defined as the management of a broadband provider’s network to directly or indirectly favor some traffic over the other traffic, including through the use of techniques such as traffic shaping, prioritization, resource reservation, or other forms of preferential traffic management either (a) in exchange for consideration (monetary or otherwise) from a third party or (b) to benefit an affiliated entity</w:t>
      </w:r>
      <w:r w:rsidR="00740B9F">
        <w:t xml:space="preserve"> (as set forth in </w:t>
      </w:r>
      <w:r w:rsidR="00406AF7">
        <w:t xml:space="preserve">Section </w:t>
      </w:r>
      <w:r w:rsidR="00740B9F">
        <w:t>5.6)</w:t>
      </w:r>
      <w:r w:rsidR="007121C5" w:rsidRPr="0007157A">
        <w:t xml:space="preserve">. </w:t>
      </w:r>
    </w:p>
    <w:p w14:paraId="5B70F5D9" w14:textId="7AA4C9C8" w:rsidR="00740B9F" w:rsidRDefault="00740B9F" w:rsidP="00F57DD5">
      <w:pPr>
        <w:pStyle w:val="Heading2"/>
        <w:tabs>
          <w:tab w:val="num" w:pos="1620"/>
        </w:tabs>
        <w:ind w:left="1620"/>
      </w:pPr>
      <w:r>
        <w:t>No Affiliate Prioritization</w:t>
      </w:r>
    </w:p>
    <w:p w14:paraId="386FF4F3" w14:textId="2D185693" w:rsidR="00740B9F" w:rsidRDefault="00740B9F" w:rsidP="0059273F">
      <w:pPr>
        <w:pStyle w:val="Heading2"/>
        <w:numPr>
          <w:ilvl w:val="0"/>
          <w:numId w:val="0"/>
        </w:numPr>
        <w:ind w:left="1620"/>
      </w:pPr>
      <w:r w:rsidRPr="0059273F">
        <w:t>Vendor shall not engage in Affiliated Prioritization, defined as the management of a broadband provider’s network to directly or indirectly favors some traffic over the other traffic, including through use of  techniques such as traffic shaping, prioritization, or resource reservation, to benefit an affiliate.</w:t>
      </w:r>
    </w:p>
    <w:p w14:paraId="08CF142B" w14:textId="15CC58A2" w:rsidR="007121C5" w:rsidRPr="0007157A" w:rsidRDefault="007121C5" w:rsidP="00F57DD5">
      <w:pPr>
        <w:pStyle w:val="Heading2"/>
        <w:tabs>
          <w:tab w:val="num" w:pos="1620"/>
        </w:tabs>
        <w:ind w:left="1620"/>
      </w:pPr>
      <w:r w:rsidRPr="0007157A">
        <w:t>Reasonable Network Management</w:t>
      </w:r>
    </w:p>
    <w:p w14:paraId="0B455AA4" w14:textId="21A0ABD8" w:rsidR="00847402" w:rsidRPr="006C69B7" w:rsidRDefault="00472BD1" w:rsidP="00F57DD5">
      <w:pPr>
        <w:pStyle w:val="Heading2"/>
        <w:numPr>
          <w:ilvl w:val="0"/>
          <w:numId w:val="0"/>
        </w:numPr>
        <w:ind w:left="1620"/>
        <w:rPr>
          <w:u w:val="single"/>
        </w:rPr>
      </w:pPr>
      <w:r>
        <w:t>A</w:t>
      </w:r>
      <w:r w:rsidR="00847402" w:rsidRPr="0007157A">
        <w:t xml:space="preserve"> reasonable network management practices</w:t>
      </w:r>
      <w:r>
        <w:t xml:space="preserve"> means</w:t>
      </w:r>
      <w:r w:rsidR="00847402" w:rsidRPr="0007157A">
        <w:t xml:space="preserve"> a practice that has a </w:t>
      </w:r>
      <w:r>
        <w:t>primarily</w:t>
      </w:r>
      <w:r w:rsidRPr="0007157A">
        <w:t xml:space="preserve"> </w:t>
      </w:r>
      <w:r w:rsidR="00847402" w:rsidRPr="0007157A">
        <w:t xml:space="preserve">technical network management justification, but does not include other business practices. A network management practice is reasonable if its </w:t>
      </w:r>
      <w:r>
        <w:t>primarily</w:t>
      </w:r>
      <w:r w:rsidRPr="0007157A">
        <w:t xml:space="preserve"> </w:t>
      </w:r>
      <w:r w:rsidR="00847402" w:rsidRPr="0007157A">
        <w:t>used for a</w:t>
      </w:r>
      <w:r>
        <w:t>nd</w:t>
      </w:r>
      <w:r w:rsidR="00847402" w:rsidRPr="0007157A">
        <w:t xml:space="preserve"> </w:t>
      </w:r>
      <w:r w:rsidR="00847402" w:rsidRPr="0007157A">
        <w:lastRenderedPageBreak/>
        <w:t xml:space="preserve">tailored to achieving a legitimate network management purpose, taking into account the </w:t>
      </w:r>
      <w:r>
        <w:t>particular</w:t>
      </w:r>
      <w:r w:rsidRPr="0007157A">
        <w:t xml:space="preserve"> </w:t>
      </w:r>
      <w:r w:rsidR="00847402" w:rsidRPr="0007157A">
        <w:t xml:space="preserve">network architecture and technology of the broadband internet access service. </w:t>
      </w:r>
      <w:r w:rsidR="00DD41E9">
        <w:rPr>
          <w:szCs w:val="22"/>
        </w:rPr>
        <w:t>Contractor</w:t>
      </w:r>
      <w:r w:rsidR="006C69B7" w:rsidRPr="006C69B7">
        <w:rPr>
          <w:szCs w:val="22"/>
        </w:rPr>
        <w:t xml:space="preserve"> shall </w:t>
      </w:r>
      <w:r w:rsidR="00B13D87">
        <w:rPr>
          <w:szCs w:val="22"/>
        </w:rPr>
        <w:t>disclose</w:t>
      </w:r>
      <w:r w:rsidR="006C69B7" w:rsidRPr="006C69B7">
        <w:rPr>
          <w:szCs w:val="22"/>
        </w:rPr>
        <w:t xml:space="preserve"> it</w:t>
      </w:r>
      <w:r w:rsidR="00B13D87">
        <w:rPr>
          <w:szCs w:val="22"/>
        </w:rPr>
        <w:t>s</w:t>
      </w:r>
      <w:r w:rsidR="006C69B7" w:rsidRPr="006C69B7">
        <w:rPr>
          <w:szCs w:val="22"/>
        </w:rPr>
        <w:t xml:space="preserve"> reasonable network </w:t>
      </w:r>
      <w:r w:rsidR="00B13D87">
        <w:rPr>
          <w:szCs w:val="22"/>
        </w:rPr>
        <w:t>management</w:t>
      </w:r>
      <w:r w:rsidR="006C69B7" w:rsidRPr="006C69B7">
        <w:rPr>
          <w:szCs w:val="22"/>
        </w:rPr>
        <w:t xml:space="preserve"> practices</w:t>
      </w:r>
      <w:r w:rsidR="006C69B7" w:rsidRPr="005E2CED">
        <w:rPr>
          <w:szCs w:val="22"/>
        </w:rPr>
        <w:t xml:space="preserve">; provided, that, </w:t>
      </w:r>
      <w:r w:rsidR="00523269">
        <w:rPr>
          <w:szCs w:val="22"/>
        </w:rPr>
        <w:t>WaTech</w:t>
      </w:r>
      <w:r w:rsidR="006C69B7" w:rsidRPr="005E2CED">
        <w:rPr>
          <w:szCs w:val="22"/>
        </w:rPr>
        <w:t xml:space="preserve"> acknowledges and agrees that the disclosures made by Contractor pursuant to </w:t>
      </w:r>
      <w:r w:rsidR="005E2CED">
        <w:rPr>
          <w:szCs w:val="22"/>
          <w:u w:val="single"/>
        </w:rPr>
        <w:t xml:space="preserve">FCC rules, 47 C.F.R. § 8.1 </w:t>
      </w:r>
      <w:r w:rsidR="006C69B7" w:rsidRPr="005E2CED">
        <w:rPr>
          <w:szCs w:val="22"/>
        </w:rPr>
        <w:t xml:space="preserve">and available </w:t>
      </w:r>
      <w:r w:rsidR="005E2CED">
        <w:rPr>
          <w:szCs w:val="22"/>
        </w:rPr>
        <w:t>on a Contractor webstie available to the public shall</w:t>
      </w:r>
      <w:r w:rsidR="006C69B7" w:rsidRPr="006C69B7">
        <w:rPr>
          <w:color w:val="44546A"/>
          <w:szCs w:val="22"/>
        </w:rPr>
        <w:t xml:space="preserve"> </w:t>
      </w:r>
      <w:r w:rsidR="005E2CED">
        <w:rPr>
          <w:szCs w:val="22"/>
        </w:rPr>
        <w:t xml:space="preserve">shall </w:t>
      </w:r>
      <w:r w:rsidR="006C69B7" w:rsidRPr="005E2CED">
        <w:rPr>
          <w:szCs w:val="22"/>
        </w:rPr>
        <w:t>satis</w:t>
      </w:r>
      <w:r w:rsidR="005E2CED" w:rsidRPr="005E2CED">
        <w:rPr>
          <w:szCs w:val="22"/>
        </w:rPr>
        <w:t>y</w:t>
      </w:r>
      <w:r w:rsidR="006C69B7" w:rsidRPr="005E2CED">
        <w:rPr>
          <w:szCs w:val="22"/>
        </w:rPr>
        <w:t xml:space="preserve"> such </w:t>
      </w:r>
      <w:r w:rsidR="00B13D87" w:rsidRPr="005E2CED">
        <w:rPr>
          <w:szCs w:val="22"/>
        </w:rPr>
        <w:t>disclosure</w:t>
      </w:r>
      <w:r w:rsidR="006C69B7" w:rsidRPr="005E2CED">
        <w:rPr>
          <w:szCs w:val="22"/>
        </w:rPr>
        <w:t xml:space="preserve"> obligation.</w:t>
      </w:r>
      <w:r w:rsidR="006C69B7" w:rsidRPr="005E2CED">
        <w:rPr>
          <w:sz w:val="24"/>
          <w:szCs w:val="24"/>
        </w:rPr>
        <w:t xml:space="preserve"> </w:t>
      </w:r>
      <w:r w:rsidR="00B13D87" w:rsidRPr="005E2CED">
        <w:rPr>
          <w:sz w:val="24"/>
          <w:szCs w:val="24"/>
        </w:rPr>
        <w:t xml:space="preserve"> </w:t>
      </w:r>
    </w:p>
    <w:p w14:paraId="7EB2EEB6" w14:textId="77777777" w:rsidR="004D47E8" w:rsidRDefault="004D47E8" w:rsidP="004D47E8">
      <w:pPr>
        <w:pStyle w:val="Heading1"/>
      </w:pPr>
      <w:r>
        <w:t>Equipment</w:t>
      </w:r>
    </w:p>
    <w:p w14:paraId="317CB19B" w14:textId="77777777" w:rsidR="00DA430B" w:rsidRDefault="00DA430B" w:rsidP="0083141E">
      <w:pPr>
        <w:pStyle w:val="Heading2"/>
        <w:tabs>
          <w:tab w:val="num" w:pos="1620"/>
        </w:tabs>
        <w:ind w:left="1620"/>
      </w:pPr>
      <w:r>
        <w:t>Equipment return</w:t>
      </w:r>
    </w:p>
    <w:p w14:paraId="17B659F5" w14:textId="5EC3DA51" w:rsidR="004D47E8" w:rsidRDefault="004D47E8" w:rsidP="005270EE">
      <w:pPr>
        <w:pStyle w:val="Heading2"/>
        <w:numPr>
          <w:ilvl w:val="0"/>
          <w:numId w:val="0"/>
        </w:numPr>
        <w:tabs>
          <w:tab w:val="clear" w:pos="1620"/>
          <w:tab w:val="left" w:pos="1710"/>
        </w:tabs>
        <w:ind w:left="1710"/>
      </w:pPr>
      <w:r>
        <w:t xml:space="preserve">Upon termination of a Service for any reason, </w:t>
      </w:r>
      <w:r w:rsidR="00794603">
        <w:t xml:space="preserve">Contractor, </w:t>
      </w:r>
      <w:r w:rsidR="00523269">
        <w:t>WaTech</w:t>
      </w:r>
      <w:r w:rsidR="00EC344E">
        <w:t xml:space="preserve"> and the applicable </w:t>
      </w:r>
      <w:r w:rsidR="00523269">
        <w:t>WaTech</w:t>
      </w:r>
      <w:r w:rsidR="00EC344E">
        <w:t xml:space="preserve"> User</w:t>
      </w:r>
      <w:r w:rsidR="00260B8F">
        <w:t xml:space="preserve"> shall cooperate in </w:t>
      </w:r>
      <w:r w:rsidR="00794603">
        <w:t>the return and/or</w:t>
      </w:r>
      <w:r w:rsidR="00260B8F">
        <w:t xml:space="preserve"> retrieval of the </w:t>
      </w:r>
      <w:r w:rsidR="00794603">
        <w:t xml:space="preserve">applicable </w:t>
      </w:r>
      <w:r w:rsidR="00260B8F">
        <w:t>Broadband ISP Equipment.</w:t>
      </w:r>
    </w:p>
    <w:p w14:paraId="49A5CCE4" w14:textId="77777777" w:rsidR="00DA430B" w:rsidRDefault="00DA430B" w:rsidP="0083141E">
      <w:pPr>
        <w:pStyle w:val="Heading2"/>
        <w:tabs>
          <w:tab w:val="num" w:pos="1620"/>
        </w:tabs>
        <w:ind w:left="1620"/>
      </w:pPr>
      <w:r>
        <w:t>Equipment capabilities</w:t>
      </w:r>
    </w:p>
    <w:p w14:paraId="78B22C34" w14:textId="240B617A" w:rsidR="00DE7907" w:rsidRDefault="00923175" w:rsidP="005270EE">
      <w:pPr>
        <w:pStyle w:val="Heading2"/>
        <w:numPr>
          <w:ilvl w:val="0"/>
          <w:numId w:val="0"/>
        </w:numPr>
        <w:tabs>
          <w:tab w:val="clear" w:pos="1620"/>
          <w:tab w:val="left" w:pos="1710"/>
        </w:tabs>
        <w:ind w:left="1710"/>
      </w:pPr>
      <w:r>
        <w:t>I</w:t>
      </w:r>
      <w:r w:rsidR="00036738">
        <w:t>f Contractor provides any hardware that allows a modem to be used as a wireless</w:t>
      </w:r>
      <w:r w:rsidR="00406AF7">
        <w:t xml:space="preserve"> gateway or</w:t>
      </w:r>
      <w:r w:rsidR="00036738">
        <w:t xml:space="preserve"> public access point (a “Wireless Function”). then, Contractor shall either:</w:t>
      </w:r>
      <w:r w:rsidR="0007157A" w:rsidRPr="00DE7907">
        <w:t xml:space="preserve"> </w:t>
      </w:r>
    </w:p>
    <w:p w14:paraId="6656BDE0" w14:textId="37791A8D" w:rsidR="00F57DD5" w:rsidRPr="00DE7907" w:rsidRDefault="00036738" w:rsidP="00214A27">
      <w:pPr>
        <w:pStyle w:val="Heading2"/>
        <w:numPr>
          <w:ilvl w:val="0"/>
          <w:numId w:val="0"/>
        </w:numPr>
        <w:tabs>
          <w:tab w:val="clear" w:pos="1620"/>
        </w:tabs>
        <w:ind w:left="2160"/>
      </w:pPr>
      <w:r>
        <w:t xml:space="preserve">(i)  </w:t>
      </w:r>
      <w:r w:rsidR="0007157A" w:rsidRPr="00DE7907">
        <w:t xml:space="preserve">ensure that the </w:t>
      </w:r>
      <w:r>
        <w:t>Wireless Function</w:t>
      </w:r>
      <w:r w:rsidRPr="00DE7907">
        <w:t xml:space="preserve"> </w:t>
      </w:r>
      <w:r>
        <w:t>with respect to</w:t>
      </w:r>
      <w:r w:rsidR="0007157A" w:rsidRPr="00DE7907">
        <w:t xml:space="preserve"> such modem is turn</w:t>
      </w:r>
      <w:r>
        <w:t>ed</w:t>
      </w:r>
      <w:r w:rsidR="0007157A" w:rsidRPr="00DE7907">
        <w:t>-off</w:t>
      </w:r>
      <w:r>
        <w:t xml:space="preserve">  ; or</w:t>
      </w:r>
      <w:r w:rsidR="00F932A0">
        <w:t xml:space="preserve"> </w:t>
      </w:r>
      <w:r>
        <w:t xml:space="preserve">(ii) </w:t>
      </w:r>
      <w:r w:rsidR="00F57DD5" w:rsidRPr="00DE7907">
        <w:t xml:space="preserve">provide </w:t>
      </w:r>
      <w:r w:rsidR="00523269">
        <w:t>WaTech</w:t>
      </w:r>
      <w:r>
        <w:t xml:space="preserve"> and/or the </w:t>
      </w:r>
      <w:r w:rsidR="00523269">
        <w:t>WaTech</w:t>
      </w:r>
      <w:r>
        <w:t xml:space="preserve"> User</w:t>
      </w:r>
      <w:r w:rsidR="00F57DD5" w:rsidRPr="00DE7907">
        <w:t xml:space="preserve"> with access to a </w:t>
      </w:r>
      <w:r w:rsidR="0007157A" w:rsidRPr="00DE7907">
        <w:t>Contractor</w:t>
      </w:r>
      <w:r w:rsidR="00F57DD5" w:rsidRPr="00DE7907">
        <w:t xml:space="preserve"> portal which will allow </w:t>
      </w:r>
      <w:r w:rsidR="00523269">
        <w:t>WaTech</w:t>
      </w:r>
      <w:r w:rsidR="00F57DD5" w:rsidRPr="00DE7907">
        <w:t xml:space="preserve"> (</w:t>
      </w:r>
      <w:r>
        <w:t>A</w:t>
      </w:r>
      <w:r w:rsidR="00F57DD5" w:rsidRPr="00DE7907">
        <w:t>) to monitor whether the Wireless Function on any such modem is turned on or off and (</w:t>
      </w:r>
      <w:r>
        <w:t>B</w:t>
      </w:r>
      <w:r w:rsidR="00F57DD5" w:rsidRPr="00DE7907">
        <w:t>) to turn such Wireless Function on or off with respect to any such modem.</w:t>
      </w:r>
    </w:p>
    <w:p w14:paraId="28BF254D" w14:textId="77777777" w:rsidR="004D47E8" w:rsidRPr="00260B8F" w:rsidRDefault="004D47E8" w:rsidP="003134F0">
      <w:pPr>
        <w:pStyle w:val="Heading1"/>
        <w:rPr>
          <w:noProof w:val="0"/>
          <w:color w:val="000000"/>
        </w:rPr>
      </w:pPr>
      <w:r w:rsidRPr="00260B8F">
        <w:t>Service Installation</w:t>
      </w:r>
      <w:bookmarkEnd w:id="12"/>
      <w:bookmarkEnd w:id="13"/>
    </w:p>
    <w:p w14:paraId="4806B62A" w14:textId="77777777" w:rsidR="004D47E8" w:rsidRPr="00F739E7" w:rsidRDefault="00260B8F" w:rsidP="00DA430B">
      <w:pPr>
        <w:pStyle w:val="Heading2"/>
        <w:tabs>
          <w:tab w:val="num" w:pos="1620"/>
        </w:tabs>
        <w:ind w:left="1620"/>
      </w:pPr>
      <w:r>
        <w:t>Service Installation – Commercially Reasonable Efforts</w:t>
      </w:r>
    </w:p>
    <w:p w14:paraId="44875621" w14:textId="5967AAD9" w:rsidR="004D47E8" w:rsidRPr="00A67550" w:rsidRDefault="00DE7907" w:rsidP="00DE7907">
      <w:pPr>
        <w:pStyle w:val="Heading2"/>
        <w:numPr>
          <w:ilvl w:val="0"/>
          <w:numId w:val="6"/>
        </w:numPr>
        <w:tabs>
          <w:tab w:val="clear" w:pos="1620"/>
        </w:tabs>
      </w:pPr>
      <w:r w:rsidRPr="00A67550">
        <w:t>Contractor</w:t>
      </w:r>
      <w:r w:rsidR="00260B8F" w:rsidRPr="00A67550">
        <w:t xml:space="preserve"> shall use commercially reasonable efforts to provision the Services on or before the </w:t>
      </w:r>
      <w:r w:rsidR="00DB71BA" w:rsidRPr="00A67550">
        <w:t>exp</w:t>
      </w:r>
      <w:r w:rsidR="006F58F6" w:rsidRPr="00A67550">
        <w:t>i</w:t>
      </w:r>
      <w:r w:rsidR="00DB71BA" w:rsidRPr="00A67550">
        <w:t>ration</w:t>
      </w:r>
      <w:r w:rsidR="00260B8F" w:rsidRPr="00A67550">
        <w:t xml:space="preserve"> of the </w:t>
      </w:r>
      <w:r w:rsidR="00A67550" w:rsidRPr="00A67550">
        <w:t>Guaranteed Install Interval</w:t>
      </w:r>
      <w:r w:rsidR="00260B8F" w:rsidRPr="00A67550">
        <w:t xml:space="preserve"> set forth in the applicable SOW (the “</w:t>
      </w:r>
      <w:r w:rsidR="00A67550" w:rsidRPr="00A67550">
        <w:t xml:space="preserve">Guaranteed </w:t>
      </w:r>
      <w:r w:rsidR="00260B8F" w:rsidRPr="00A67550">
        <w:t>Install</w:t>
      </w:r>
      <w:r w:rsidR="00DB71BA" w:rsidRPr="00A67550">
        <w:t xml:space="preserve"> </w:t>
      </w:r>
      <w:r w:rsidR="00260B8F" w:rsidRPr="00A67550">
        <w:t xml:space="preserve">Interval”); provided, however, that </w:t>
      </w:r>
      <w:r w:rsidR="005070E1" w:rsidRPr="00A67550">
        <w:t>Contractor’s</w:t>
      </w:r>
      <w:r w:rsidR="00260B8F" w:rsidRPr="00A67550">
        <w:t xml:space="preserve"> failure to provision the applicable Services by the </w:t>
      </w:r>
      <w:r w:rsidR="00DB71BA" w:rsidRPr="00A67550">
        <w:t>expiration</w:t>
      </w:r>
      <w:r w:rsidR="00260B8F" w:rsidRPr="00A67550">
        <w:t xml:space="preserve"> of the </w:t>
      </w:r>
      <w:r w:rsidR="00A67550" w:rsidRPr="00A67550">
        <w:t xml:space="preserve">Guaranteed </w:t>
      </w:r>
      <w:r w:rsidR="00A355EC" w:rsidRPr="00A67550">
        <w:t>Install I</w:t>
      </w:r>
      <w:r w:rsidR="00260B8F" w:rsidRPr="00A67550">
        <w:t xml:space="preserve">nterval shall not constitute a breach of the </w:t>
      </w:r>
      <w:r w:rsidR="00710B56">
        <w:t>NSA</w:t>
      </w:r>
      <w:r w:rsidR="00260B8F" w:rsidRPr="00A67550">
        <w:t xml:space="preserve"> or this Addendum. </w:t>
      </w:r>
      <w:r w:rsidR="004D47E8" w:rsidRPr="00A67550">
        <w:t xml:space="preserve">The </w:t>
      </w:r>
      <w:r w:rsidR="00A67550" w:rsidRPr="00A67550">
        <w:t xml:space="preserve">Guaranteed </w:t>
      </w:r>
      <w:r w:rsidR="004D47E8" w:rsidRPr="00A67550">
        <w:t xml:space="preserve">Install Interval shall commence when </w:t>
      </w:r>
      <w:r w:rsidR="00523269">
        <w:t>WaTech</w:t>
      </w:r>
      <w:r w:rsidR="004D47E8" w:rsidRPr="00A67550">
        <w:t xml:space="preserve"> electronically sends the Tech Order to the Contractor. Tech Orders shall be provided to the Contractor within seven (7) days after receipt of the signed SOW.</w:t>
      </w:r>
      <w:r w:rsidR="00DB71BA" w:rsidRPr="00A67550">
        <w:t xml:space="preserve"> </w:t>
      </w:r>
    </w:p>
    <w:p w14:paraId="170006E8" w14:textId="77777777" w:rsidR="00E51420" w:rsidRPr="00A67550" w:rsidRDefault="00E51420" w:rsidP="00E51420">
      <w:pPr>
        <w:pStyle w:val="Heading2"/>
        <w:tabs>
          <w:tab w:val="num" w:pos="1620"/>
        </w:tabs>
        <w:ind w:left="1620"/>
      </w:pPr>
      <w:r w:rsidRPr="00A67550">
        <w:t xml:space="preserve">Remedies for Missed </w:t>
      </w:r>
      <w:r w:rsidR="00A67550" w:rsidRPr="00A67550">
        <w:t xml:space="preserve">Guaranteed </w:t>
      </w:r>
      <w:r w:rsidRPr="00A67550">
        <w:t>Install Interval</w:t>
      </w:r>
    </w:p>
    <w:p w14:paraId="7715C0BA" w14:textId="67C9DFB5" w:rsidR="004D47E8" w:rsidRPr="00A67550" w:rsidRDefault="00E51420" w:rsidP="005270EE">
      <w:pPr>
        <w:pStyle w:val="Heading2"/>
        <w:numPr>
          <w:ilvl w:val="0"/>
          <w:numId w:val="44"/>
        </w:numPr>
        <w:tabs>
          <w:tab w:val="clear" w:pos="1620"/>
        </w:tabs>
      </w:pPr>
      <w:r w:rsidRPr="00A67550">
        <w:t>Subject to Section 7.</w:t>
      </w:r>
      <w:r w:rsidR="005270EE">
        <w:t>2</w:t>
      </w:r>
      <w:r w:rsidRPr="00A67550">
        <w:t xml:space="preserve">(c), for every each 30 days past the expiration date of the </w:t>
      </w:r>
      <w:r w:rsidR="00A67550" w:rsidRPr="00A67550">
        <w:t xml:space="preserve">Guaranteed </w:t>
      </w:r>
      <w:r w:rsidRPr="00A67550">
        <w:t xml:space="preserve">Install Interval that the applicable Service is not delivered to </w:t>
      </w:r>
      <w:r w:rsidR="00523269">
        <w:t>WaTech</w:t>
      </w:r>
      <w:r w:rsidRPr="00A67550">
        <w:t xml:space="preserve">, Contractor will credit </w:t>
      </w:r>
      <w:r w:rsidR="00523269">
        <w:t>WaTech’s</w:t>
      </w:r>
      <w:r w:rsidRPr="00A67550">
        <w:t xml:space="preserve">s account one (1) months MRC for the applicable Service; provided, that, the maxium credit that </w:t>
      </w:r>
      <w:r w:rsidR="005070E1" w:rsidRPr="00A67550">
        <w:t>Contractor</w:t>
      </w:r>
      <w:r w:rsidRPr="00A67550">
        <w:t xml:space="preserve"> shall be obligated to grant for failiure to install a Service within the</w:t>
      </w:r>
      <w:r w:rsidR="00A67550" w:rsidRPr="00A67550">
        <w:t xml:space="preserve"> Guaranteed</w:t>
      </w:r>
      <w:r w:rsidRPr="00A67550">
        <w:t xml:space="preserve"> Install Interval shall be three (3) months MRC applicable to such Service.  </w:t>
      </w:r>
      <w:r w:rsidR="004D47E8" w:rsidRPr="00A67550">
        <w:t xml:space="preserve">The Parties acknowledge and agree that, because of the unique nature of the Services contemplated by this SOW, it is difficult or impossible to determine with precision the specific amount of damages that might be incurred by </w:t>
      </w:r>
      <w:r w:rsidR="00523269">
        <w:t>WaTech</w:t>
      </w:r>
      <w:r w:rsidR="004D47E8" w:rsidRPr="00A67550">
        <w:t xml:space="preserve"> or any </w:t>
      </w:r>
      <w:r w:rsidR="00523269">
        <w:t>WaTech</w:t>
      </w:r>
      <w:r w:rsidR="004D47E8" w:rsidRPr="00A67550">
        <w:t xml:space="preserve"> User as a result of a failure of Contractor to meet the Service Level Agreements.</w:t>
      </w:r>
    </w:p>
    <w:p w14:paraId="188FA698" w14:textId="5542A585" w:rsidR="004D47E8" w:rsidRDefault="004D47E8" w:rsidP="005270EE">
      <w:pPr>
        <w:pStyle w:val="Heading2"/>
        <w:numPr>
          <w:ilvl w:val="0"/>
          <w:numId w:val="44"/>
        </w:numPr>
        <w:tabs>
          <w:tab w:val="clear" w:pos="1620"/>
        </w:tabs>
      </w:pPr>
      <w:r w:rsidRPr="00A67550">
        <w:t xml:space="preserve">It is further understood and agreed by the Parties that </w:t>
      </w:r>
      <w:r w:rsidR="00523269">
        <w:t>WaTech</w:t>
      </w:r>
      <w:r w:rsidRPr="00A67550">
        <w:t xml:space="preserve"> shall be damaged by such failure of Contractor to meet the Guaranteed Install Interval and</w:t>
      </w:r>
      <w:r w:rsidRPr="00401318">
        <w:t xml:space="preserve"> that any remedies that become payable under this section are not penalties, are fair and </w:t>
      </w:r>
      <w:r w:rsidRPr="00401318">
        <w:lastRenderedPageBreak/>
        <w:t>reasonable under the circumstances, and that such payments represent a reasonable estimate of fair compensation.</w:t>
      </w:r>
    </w:p>
    <w:p w14:paraId="59F6D4FB" w14:textId="61F46A99" w:rsidR="00E51420" w:rsidRDefault="00E51420" w:rsidP="005270EE">
      <w:pPr>
        <w:pStyle w:val="Heading2"/>
        <w:numPr>
          <w:ilvl w:val="0"/>
          <w:numId w:val="44"/>
        </w:numPr>
        <w:tabs>
          <w:tab w:val="clear" w:pos="1620"/>
        </w:tabs>
        <w:jc w:val="both"/>
      </w:pPr>
      <w:r>
        <w:t>Notwithstanding anyt</w:t>
      </w:r>
      <w:r w:rsidR="00A355EC">
        <w:t>h</w:t>
      </w:r>
      <w:r>
        <w:t>ing to the contary contained in Section 7.</w:t>
      </w:r>
      <w:r w:rsidR="005270EE">
        <w:t>2</w:t>
      </w:r>
      <w:r>
        <w:t xml:space="preserve">, </w:t>
      </w:r>
      <w:r w:rsidR="00A355EC">
        <w:t>Contractor</w:t>
      </w:r>
      <w:r>
        <w:t xml:space="preserve"> shall have no obligation to grant </w:t>
      </w:r>
      <w:r w:rsidR="00523269">
        <w:t>WaTech</w:t>
      </w:r>
      <w:r>
        <w:t xml:space="preserve"> a credit for its failure to provision a Sevice within the </w:t>
      </w:r>
      <w:r w:rsidR="00A67550">
        <w:t xml:space="preserve">Guaranteed </w:t>
      </w:r>
      <w:r>
        <w:t xml:space="preserve">Install Interval if such failure is related to, associated with, or caused by: </w:t>
      </w:r>
      <w:r w:rsidR="00523269">
        <w:t>WaTech</w:t>
      </w:r>
      <w:r>
        <w:t xml:space="preserve"> or </w:t>
      </w:r>
      <w:r w:rsidR="00523269">
        <w:t>WaTech</w:t>
      </w:r>
      <w:r>
        <w:t xml:space="preserve"> User actions or inactions; any third party not contracted through </w:t>
      </w:r>
      <w:r w:rsidR="00A355EC">
        <w:t>Contractor</w:t>
      </w:r>
      <w:r>
        <w:t xml:space="preserve">; reasons beyond Contactor’s reasonable control; or a Force Majeure Event. </w:t>
      </w:r>
    </w:p>
    <w:p w14:paraId="6D559120" w14:textId="3C58D1A9" w:rsidR="00E51420" w:rsidRDefault="00E51420" w:rsidP="005270EE">
      <w:pPr>
        <w:pStyle w:val="Heading2"/>
        <w:numPr>
          <w:ilvl w:val="0"/>
          <w:numId w:val="44"/>
        </w:numPr>
        <w:tabs>
          <w:tab w:val="clear" w:pos="1620"/>
        </w:tabs>
        <w:jc w:val="both"/>
      </w:pPr>
      <w:r>
        <w:t>Without limitation to Section 7.</w:t>
      </w:r>
      <w:r w:rsidR="005270EE">
        <w:t>2</w:t>
      </w:r>
      <w:r>
        <w:t>(a), if (i) Contractor fails to provision a Service prior to the expiraiton of the applicable Service Interval and (ii) such failure is not due to any of the causes set forth in Section 7.</w:t>
      </w:r>
      <w:r w:rsidR="005270EE">
        <w:t>2</w:t>
      </w:r>
      <w:r>
        <w:t xml:space="preserve">(c), then, at anytime prior to the time that Contractor provisions such Service, </w:t>
      </w:r>
      <w:r w:rsidR="00523269">
        <w:t>WaTech</w:t>
      </w:r>
      <w:r>
        <w:t xml:space="preserve"> may terminte such Service upon written notice to Contractor without penalty. </w:t>
      </w:r>
    </w:p>
    <w:p w14:paraId="06AD60B4" w14:textId="77777777" w:rsidR="004D47E8" w:rsidRPr="00F739E7" w:rsidRDefault="004D47E8" w:rsidP="005270EE">
      <w:pPr>
        <w:pStyle w:val="Heading2"/>
        <w:tabs>
          <w:tab w:val="num" w:pos="1620"/>
        </w:tabs>
        <w:ind w:left="1620"/>
      </w:pPr>
      <w:r w:rsidRPr="00F739E7">
        <w:t>Service Installation Fees</w:t>
      </w:r>
    </w:p>
    <w:p w14:paraId="44639868" w14:textId="03555C5F" w:rsidR="004D47E8" w:rsidRDefault="004D47E8" w:rsidP="00DA430B">
      <w:pPr>
        <w:pStyle w:val="Heading2"/>
        <w:numPr>
          <w:ilvl w:val="0"/>
          <w:numId w:val="0"/>
        </w:numPr>
        <w:ind w:left="1440"/>
      </w:pPr>
      <w:r w:rsidRPr="00401318">
        <w:t xml:space="preserve">Except as may be otherwise agreed by the Parties in the applicable Statement of Work, Contractor shall not charge fees for any re-performance made necessary because of Contractor’s error or breach of contract, or to remedy any non-conformity as may be designated by </w:t>
      </w:r>
      <w:r w:rsidR="00523269">
        <w:t>WaTech</w:t>
      </w:r>
      <w:r>
        <w:t>.</w:t>
      </w:r>
    </w:p>
    <w:p w14:paraId="3BDA9E68" w14:textId="3C4F7499" w:rsidR="004D47E8" w:rsidRPr="00C87979" w:rsidRDefault="004D47E8" w:rsidP="00DA430B">
      <w:pPr>
        <w:pStyle w:val="Heading2"/>
        <w:numPr>
          <w:ilvl w:val="0"/>
          <w:numId w:val="0"/>
        </w:numPr>
        <w:ind w:left="1440"/>
      </w:pPr>
      <w:r>
        <w:t>Contractor</w:t>
      </w:r>
      <w:r w:rsidRPr="00D4081F">
        <w:t xml:space="preserve">s are responsible for installation of service to the location specified in the </w:t>
      </w:r>
      <w:r w:rsidR="00523269">
        <w:t>WaTech</w:t>
      </w:r>
      <w:r>
        <w:t xml:space="preserve"> Procurement Document </w:t>
      </w:r>
      <w:r w:rsidRPr="00D4081F">
        <w:t xml:space="preserve">and all costs associated with said installation must be </w:t>
      </w:r>
      <w:r w:rsidRPr="00C87979">
        <w:t xml:space="preserve">included in the </w:t>
      </w:r>
      <w:r w:rsidRPr="00DA430B">
        <w:t xml:space="preserve">Contractor’s </w:t>
      </w:r>
      <w:r w:rsidRPr="00C87979">
        <w:t xml:space="preserve">Response.  Any additional costs not stated in its Response shall be </w:t>
      </w:r>
      <w:r w:rsidRPr="00A73F23">
        <w:t>borne by</w:t>
      </w:r>
      <w:r w:rsidRPr="00C87979">
        <w:t xml:space="preserve"> Contractor.</w:t>
      </w:r>
    </w:p>
    <w:p w14:paraId="4CFBC057" w14:textId="77777777" w:rsidR="004D47E8" w:rsidRPr="00C87979" w:rsidRDefault="004D47E8" w:rsidP="00237826">
      <w:pPr>
        <w:pStyle w:val="Heading2"/>
        <w:tabs>
          <w:tab w:val="clear" w:pos="1620"/>
        </w:tabs>
        <w:ind w:left="1440"/>
      </w:pPr>
      <w:r w:rsidRPr="00C87979">
        <w:t>Weekly Updates</w:t>
      </w:r>
    </w:p>
    <w:p w14:paraId="710EAB29" w14:textId="77777777" w:rsidR="004D47E8" w:rsidRPr="00C51E05" w:rsidRDefault="004D47E8" w:rsidP="00DA430B">
      <w:pPr>
        <w:pStyle w:val="Heading2"/>
        <w:numPr>
          <w:ilvl w:val="0"/>
          <w:numId w:val="0"/>
        </w:numPr>
        <w:ind w:left="1440"/>
      </w:pPr>
      <w:r w:rsidRPr="00C87979">
        <w:t xml:space="preserve">The Contractor will provide weekly updates detailing the progress made for service installation with estimated timeframes for major milestones.  These updates will be delivered via email.  </w:t>
      </w:r>
    </w:p>
    <w:p w14:paraId="5AC930C4" w14:textId="77777777" w:rsidR="004D47E8" w:rsidRPr="00F739E7" w:rsidRDefault="004D47E8" w:rsidP="00237826">
      <w:pPr>
        <w:pStyle w:val="Heading2"/>
        <w:tabs>
          <w:tab w:val="clear" w:pos="1620"/>
          <w:tab w:val="num" w:pos="1440"/>
        </w:tabs>
        <w:ind w:left="1620"/>
      </w:pPr>
      <w:bookmarkStart w:id="14" w:name="_Toc466906368"/>
      <w:r w:rsidRPr="00F739E7">
        <w:t>Contractor Demarcation Poin</w:t>
      </w:r>
      <w:bookmarkEnd w:id="14"/>
      <w:r w:rsidRPr="00F739E7">
        <w:t>t</w:t>
      </w:r>
    </w:p>
    <w:p w14:paraId="7360A631" w14:textId="578F4A2E" w:rsidR="004D47E8" w:rsidRPr="00E801B1" w:rsidRDefault="004D47E8" w:rsidP="00DA430B">
      <w:pPr>
        <w:pStyle w:val="Heading2"/>
        <w:numPr>
          <w:ilvl w:val="0"/>
          <w:numId w:val="0"/>
        </w:numPr>
        <w:ind w:left="1440"/>
      </w:pPr>
      <w:r w:rsidRPr="00C87979">
        <w:t xml:space="preserve">If </w:t>
      </w:r>
      <w:r w:rsidR="00523269">
        <w:t>WaTech</w:t>
      </w:r>
      <w:r w:rsidRPr="00C87979">
        <w:t xml:space="preserve"> requests an extended Contractor Demarcation Point – Contractor is responsible for installing, maintaining, and servicing of the extended d</w:t>
      </w:r>
      <w:r>
        <w:t>e</w:t>
      </w:r>
      <w:r w:rsidRPr="00C87979">
        <w:t>mar</w:t>
      </w:r>
      <w:r>
        <w:t>c</w:t>
      </w:r>
      <w:r w:rsidRPr="00C87979">
        <w:t xml:space="preserve"> including but not limited to cabling, telecommunications equipment, and any work done by a Subcontractor.</w:t>
      </w:r>
    </w:p>
    <w:p w14:paraId="5DD4A195" w14:textId="77777777" w:rsidR="004D47E8" w:rsidRPr="00DA430B" w:rsidRDefault="004D47E8" w:rsidP="00237826">
      <w:pPr>
        <w:pStyle w:val="Heading2"/>
        <w:tabs>
          <w:tab w:val="clear" w:pos="1620"/>
          <w:tab w:val="num" w:pos="1440"/>
        </w:tabs>
        <w:ind w:left="1620"/>
      </w:pPr>
      <w:r w:rsidRPr="00F739E7">
        <w:t>Circuit Handoff</w:t>
      </w:r>
    </w:p>
    <w:p w14:paraId="4147ADAA" w14:textId="1E4ED6C7" w:rsidR="004D47E8" w:rsidRPr="00DA430B" w:rsidRDefault="004D47E8" w:rsidP="005070E1">
      <w:pPr>
        <w:pStyle w:val="Heading2"/>
        <w:numPr>
          <w:ilvl w:val="0"/>
          <w:numId w:val="0"/>
        </w:numPr>
        <w:tabs>
          <w:tab w:val="clear" w:pos="1620"/>
        </w:tabs>
        <w:ind w:left="1440"/>
      </w:pPr>
      <w:r>
        <w:t xml:space="preserve">Unless otherwise stated in the </w:t>
      </w:r>
      <w:r w:rsidR="00523269">
        <w:t>WaTech</w:t>
      </w:r>
      <w:r>
        <w:t xml:space="preserve"> Procurement Document, a</w:t>
      </w:r>
      <w:r w:rsidRPr="00D4081F">
        <w:t xml:space="preserve">ll </w:t>
      </w:r>
      <w:r>
        <w:t xml:space="preserve">tail </w:t>
      </w:r>
      <w:r w:rsidR="00113CC8">
        <w:t xml:space="preserve">Broadband </w:t>
      </w:r>
      <w:r w:rsidRPr="00D4081F">
        <w:t>circuits will be delivered</w:t>
      </w:r>
      <w:r w:rsidR="00B055F7" w:rsidRPr="005A721C">
        <w:t>via RJ-4</w:t>
      </w:r>
      <w:r w:rsidR="00B055F7">
        <w:t>5</w:t>
      </w:r>
      <w:r w:rsidR="00B055F7" w:rsidRPr="005A721C">
        <w:t xml:space="preserve"> connector</w:t>
      </w:r>
      <w:r w:rsidR="00B055F7" w:rsidRPr="00D4081F">
        <w:t xml:space="preserve"> </w:t>
      </w:r>
      <w:r>
        <w:t>.</w:t>
      </w:r>
    </w:p>
    <w:p w14:paraId="75DE391B" w14:textId="77777777" w:rsidR="00F57DD5" w:rsidRDefault="00F57DD5" w:rsidP="00237826">
      <w:pPr>
        <w:pStyle w:val="Heading2"/>
        <w:tabs>
          <w:tab w:val="clear" w:pos="1620"/>
          <w:tab w:val="num" w:pos="1440"/>
        </w:tabs>
        <w:ind w:left="1620"/>
        <w:jc w:val="both"/>
      </w:pPr>
      <w:bookmarkStart w:id="15" w:name="_Toc467155060"/>
      <w:bookmarkStart w:id="16" w:name="_Toc472937889"/>
      <w:bookmarkStart w:id="17" w:name="_Toc478573235"/>
      <w:r>
        <w:t>Upload/Download Speeds</w:t>
      </w:r>
    </w:p>
    <w:p w14:paraId="6941C5A7" w14:textId="6C6EF4EA" w:rsidR="00F57DD5" w:rsidRDefault="00F57DD5" w:rsidP="005070E1">
      <w:pPr>
        <w:pStyle w:val="Heading2"/>
        <w:numPr>
          <w:ilvl w:val="0"/>
          <w:numId w:val="0"/>
        </w:numPr>
        <w:tabs>
          <w:tab w:val="clear" w:pos="1620"/>
        </w:tabs>
        <w:ind w:left="1440"/>
      </w:pPr>
      <w:r>
        <w:t xml:space="preserve">If </w:t>
      </w:r>
      <w:r w:rsidR="00523269">
        <w:t>WaTech</w:t>
      </w:r>
      <w:r>
        <w:t xml:space="preserve"> determines, in good faith, that the upload/download speeds of a given Service are not materially meeting the speeds ordered, it may notify Contractor thereof and the parties shall cooperate in good faith in an attempt to resolve the issue. If (i) Contractor and </w:t>
      </w:r>
      <w:r w:rsidR="00523269">
        <w:t>WaTech</w:t>
      </w:r>
      <w:r>
        <w:t xml:space="preserve"> are unable to resolve the issue within two (2) weeks of </w:t>
      </w:r>
      <w:r w:rsidR="00523269">
        <w:t>WaTech</w:t>
      </w:r>
      <w:r>
        <w:t xml:space="preserve"> notifying </w:t>
      </w:r>
      <w:r w:rsidR="00454681">
        <w:t>Contractor</w:t>
      </w:r>
      <w:r>
        <w:t xml:space="preserve"> of the same and (ii) the failure of the Service to provide the ordered upload/download speeds is not due to actions or inactions of </w:t>
      </w:r>
      <w:r w:rsidR="00523269">
        <w:t>WaTech</w:t>
      </w:r>
      <w:r>
        <w:t xml:space="preserve">, a </w:t>
      </w:r>
      <w:r w:rsidR="00523269">
        <w:t>WaTech</w:t>
      </w:r>
      <w:r>
        <w:t xml:space="preserve"> User or their respective users, </w:t>
      </w:r>
      <w:r w:rsidR="00523269">
        <w:t>WaTech</w:t>
      </w:r>
      <w:r>
        <w:t xml:space="preserve"> may terminate the applicbale Service upon ten (10) days written notice to </w:t>
      </w:r>
      <w:r w:rsidR="00454681">
        <w:t>Contractor</w:t>
      </w:r>
      <w:r>
        <w:t xml:space="preserve"> without penalty.  For the avoidance of doubt, the parties ackowledge that (A) actual upload/download speeds will vary depending on the amount of users using the service and the type and quanity of data they are downloading and/or </w:t>
      </w:r>
      <w:r>
        <w:lastRenderedPageBreak/>
        <w:t xml:space="preserve">transmitting and (B) the failure of the upload/download speeds to meet the quoted speeds due to any such use shall be considered “due to the actions or inactions of </w:t>
      </w:r>
      <w:r w:rsidR="00523269">
        <w:t>WaTech</w:t>
      </w:r>
      <w:r>
        <w:t xml:space="preserve">, a </w:t>
      </w:r>
      <w:r w:rsidR="00523269">
        <w:t>WaTech</w:t>
      </w:r>
      <w:r>
        <w:t xml:space="preserve"> User or their respective users.”</w:t>
      </w:r>
    </w:p>
    <w:p w14:paraId="1B4899D2" w14:textId="77777777" w:rsidR="004D47E8" w:rsidRPr="002A54E5" w:rsidRDefault="004D47E8" w:rsidP="004D47E8">
      <w:pPr>
        <w:pStyle w:val="Heading1"/>
        <w:suppressAutoHyphens/>
        <w:rPr>
          <w:szCs w:val="24"/>
        </w:rPr>
      </w:pPr>
      <w:r w:rsidRPr="002A54E5">
        <w:rPr>
          <w:szCs w:val="24"/>
        </w:rPr>
        <w:t>Invoices</w:t>
      </w:r>
      <w:bookmarkEnd w:id="15"/>
      <w:bookmarkEnd w:id="16"/>
      <w:bookmarkEnd w:id="17"/>
    </w:p>
    <w:p w14:paraId="4B41D452" w14:textId="478D1B5E" w:rsidR="004D47E8" w:rsidRPr="00C87979" w:rsidRDefault="004D47E8" w:rsidP="00DA430B">
      <w:pPr>
        <w:pStyle w:val="Heading2"/>
        <w:tabs>
          <w:tab w:val="num" w:pos="1620"/>
        </w:tabs>
        <w:ind w:left="1620"/>
      </w:pPr>
      <w:r w:rsidRPr="00C87979">
        <w:t xml:space="preserve">In addition to the requirements addressed in Section 10 of the </w:t>
      </w:r>
      <w:r w:rsidR="00710B56">
        <w:t>NSA</w:t>
      </w:r>
      <w:r w:rsidRPr="00C87979">
        <w:t>, Invoice and Payment, Contractor agrees to the following provisions related to invoices</w:t>
      </w:r>
      <w:r w:rsidRPr="00A73F23">
        <w:t xml:space="preserve">: </w:t>
      </w:r>
    </w:p>
    <w:p w14:paraId="377B2F1F" w14:textId="77777777" w:rsidR="004D47E8" w:rsidRPr="00C87979" w:rsidRDefault="004D47E8" w:rsidP="00DA430B">
      <w:pPr>
        <w:pStyle w:val="Heading2"/>
        <w:tabs>
          <w:tab w:val="num" w:pos="1620"/>
        </w:tabs>
        <w:ind w:left="1620"/>
      </w:pPr>
      <w:r w:rsidRPr="00C87979">
        <w:t>Contractor shall itemize all charges, taxes, and fees per circuit.  In the event of multiple sites, the Contractor must itemize fees per circuit.  This information may be itemized directly on the invoice or provided as supplemental documentation attached to the invoice as long as the requirements are met.</w:t>
      </w:r>
    </w:p>
    <w:p w14:paraId="0BCB903B" w14:textId="1A7F1067" w:rsidR="004D47E8" w:rsidRPr="00C87979" w:rsidRDefault="004D47E8" w:rsidP="00DA430B">
      <w:pPr>
        <w:pStyle w:val="Heading2"/>
        <w:tabs>
          <w:tab w:val="num" w:pos="1620"/>
        </w:tabs>
        <w:ind w:left="1620"/>
      </w:pPr>
      <w:r w:rsidRPr="00C87979">
        <w:t>All invoices must be delivered as an "E" bill</w:t>
      </w:r>
      <w:r w:rsidR="005270EE">
        <w:t xml:space="preserve"> </w:t>
      </w:r>
      <w:r w:rsidR="009A0E6F">
        <w:t>in</w:t>
      </w:r>
      <w:r w:rsidRPr="00C87979">
        <w:t xml:space="preserve"> a standard paper</w:t>
      </w:r>
      <w:r>
        <w:t xml:space="preserve"> </w:t>
      </w:r>
      <w:r w:rsidRPr="00C87979">
        <w:t>(</w:t>
      </w:r>
      <w:r w:rsidR="00D0124A">
        <w:t>.</w:t>
      </w:r>
      <w:r w:rsidRPr="00C87979">
        <w:t>pdf) format</w:t>
      </w:r>
    </w:p>
    <w:p w14:paraId="1B68E45A" w14:textId="77777777" w:rsidR="004D47E8" w:rsidRPr="00C87979" w:rsidRDefault="004D47E8" w:rsidP="00DA430B">
      <w:pPr>
        <w:pStyle w:val="Heading2"/>
        <w:tabs>
          <w:tab w:val="num" w:pos="1620"/>
        </w:tabs>
        <w:ind w:left="1620"/>
      </w:pPr>
      <w:r w:rsidRPr="00C87979">
        <w:t>All invoices must include all applicable taxes.</w:t>
      </w:r>
    </w:p>
    <w:p w14:paraId="220D1E06" w14:textId="348CAA3C" w:rsidR="004D47E8" w:rsidRDefault="004D47E8" w:rsidP="00DA430B">
      <w:pPr>
        <w:pStyle w:val="Heading2"/>
        <w:tabs>
          <w:tab w:val="num" w:pos="1620"/>
        </w:tabs>
        <w:ind w:left="1620"/>
      </w:pPr>
      <w:r w:rsidRPr="00C87979">
        <w:t>Billing shall commence after the circuit has been delivered to</w:t>
      </w:r>
      <w:r w:rsidRPr="00032703">
        <w:t xml:space="preserve"> the location specified by </w:t>
      </w:r>
      <w:r w:rsidR="00523269">
        <w:t>WaTech</w:t>
      </w:r>
      <w:r w:rsidRPr="00032703">
        <w:t xml:space="preserve"> </w:t>
      </w:r>
      <w:r>
        <w:t xml:space="preserve">in the applicable </w:t>
      </w:r>
      <w:r w:rsidRPr="00032703">
        <w:t>SOW</w:t>
      </w:r>
      <w:r>
        <w:t>.</w:t>
      </w:r>
    </w:p>
    <w:p w14:paraId="6C459109" w14:textId="1F347372" w:rsidR="004D47E8" w:rsidRPr="005D48C0" w:rsidRDefault="004D47E8" w:rsidP="00DA430B">
      <w:pPr>
        <w:pStyle w:val="Heading2"/>
        <w:tabs>
          <w:tab w:val="num" w:pos="1620"/>
        </w:tabs>
        <w:ind w:left="1620"/>
      </w:pPr>
      <w:r w:rsidRPr="001075B5">
        <w:t xml:space="preserve">Contractor shall calculate applicable disconnect date and associated billing, Termination Liability and other allowable fees based on the date the disconnection is requested by </w:t>
      </w:r>
      <w:r w:rsidR="00523269">
        <w:t>WaTech</w:t>
      </w:r>
      <w:r w:rsidRPr="005A721C">
        <w:t>.</w:t>
      </w:r>
      <w:bookmarkStart w:id="18" w:name="_Toc467155061"/>
      <w:bookmarkStart w:id="19" w:name="_Toc478573236"/>
    </w:p>
    <w:p w14:paraId="43DA03B3" w14:textId="77777777" w:rsidR="004D47E8" w:rsidRDefault="004D47E8" w:rsidP="00A355EC">
      <w:pPr>
        <w:pStyle w:val="Heading1"/>
        <w:suppressAutoHyphens/>
        <w:rPr>
          <w:noProof w:val="0"/>
          <w:color w:val="000000"/>
        </w:rPr>
      </w:pPr>
      <w:r w:rsidRPr="005A721C">
        <w:rPr>
          <w:noProof w:val="0"/>
          <w:color w:val="000000"/>
        </w:rPr>
        <w:t>Technical Requirements</w:t>
      </w:r>
      <w:bookmarkEnd w:id="18"/>
      <w:bookmarkEnd w:id="19"/>
    </w:p>
    <w:p w14:paraId="1DCCC691" w14:textId="77777777" w:rsidR="004D47E8" w:rsidRDefault="00F57DD5" w:rsidP="00977BD8">
      <w:pPr>
        <w:pStyle w:val="Heading1para"/>
      </w:pPr>
      <w:r>
        <w:t>The parties acknowledge and agree that it is the intent of the parties that a Service will be provided and available 24/7/365, it being understood that there may be Service Interruptions and that the remedies for the sam</w:t>
      </w:r>
      <w:r w:rsidR="00A355EC">
        <w:t>e shall be as set forth herein.</w:t>
      </w:r>
    </w:p>
    <w:p w14:paraId="53EA68AA" w14:textId="77777777" w:rsidR="004D47E8" w:rsidRPr="004075B9" w:rsidRDefault="004D47E8" w:rsidP="004D47E8">
      <w:pPr>
        <w:pStyle w:val="Heading1"/>
        <w:suppressAutoHyphens/>
        <w:rPr>
          <w:noProof w:val="0"/>
          <w:color w:val="000000"/>
        </w:rPr>
      </w:pPr>
      <w:bookmarkStart w:id="20" w:name="_Toc467155062"/>
      <w:bookmarkStart w:id="21" w:name="_Toc478573238"/>
      <w:r w:rsidRPr="004075B9">
        <w:rPr>
          <w:noProof w:val="0"/>
          <w:color w:val="000000"/>
        </w:rPr>
        <w:t>Service Repair</w:t>
      </w:r>
      <w:r>
        <w:rPr>
          <w:noProof w:val="0"/>
          <w:color w:val="000000"/>
        </w:rPr>
        <w:t xml:space="preserve"> </w:t>
      </w:r>
      <w:r w:rsidRPr="004075B9">
        <w:rPr>
          <w:noProof w:val="0"/>
          <w:color w:val="000000"/>
        </w:rPr>
        <w:t>and Trouble Reporting</w:t>
      </w:r>
      <w:bookmarkEnd w:id="20"/>
      <w:bookmarkEnd w:id="21"/>
    </w:p>
    <w:p w14:paraId="62BE203E" w14:textId="2B1F1FBD" w:rsidR="004D47E8" w:rsidRPr="00FF6222" w:rsidRDefault="004D47E8" w:rsidP="004D47E8">
      <w:pPr>
        <w:pStyle w:val="Heading1para"/>
        <w:rPr>
          <w:szCs w:val="24"/>
        </w:rPr>
      </w:pPr>
      <w:r w:rsidRPr="00FF6222">
        <w:rPr>
          <w:szCs w:val="24"/>
        </w:rPr>
        <w:t xml:space="preserve">The following applies to the provisioning of </w:t>
      </w:r>
      <w:r>
        <w:rPr>
          <w:szCs w:val="24"/>
        </w:rPr>
        <w:t>S</w:t>
      </w:r>
      <w:r w:rsidRPr="00FF6222">
        <w:rPr>
          <w:szCs w:val="24"/>
        </w:rPr>
        <w:t xml:space="preserve">ervices to </w:t>
      </w:r>
      <w:r w:rsidR="00523269">
        <w:rPr>
          <w:szCs w:val="24"/>
        </w:rPr>
        <w:t>WaTech</w:t>
      </w:r>
      <w:r w:rsidRPr="00FF6222">
        <w:rPr>
          <w:szCs w:val="24"/>
        </w:rPr>
        <w:t xml:space="preserve"> and </w:t>
      </w:r>
      <w:r w:rsidR="00523269">
        <w:rPr>
          <w:szCs w:val="24"/>
        </w:rPr>
        <w:t>WaTech</w:t>
      </w:r>
      <w:r>
        <w:rPr>
          <w:szCs w:val="24"/>
        </w:rPr>
        <w:t xml:space="preserve"> Users </w:t>
      </w:r>
      <w:r w:rsidRPr="00FF6222">
        <w:rPr>
          <w:szCs w:val="24"/>
        </w:rPr>
        <w:t xml:space="preserve">provided under this Addendum: </w:t>
      </w:r>
    </w:p>
    <w:p w14:paraId="32E7C63D" w14:textId="77777777" w:rsidR="004D47E8" w:rsidRPr="00F739E7" w:rsidRDefault="004D47E8" w:rsidP="00DA430B">
      <w:pPr>
        <w:pStyle w:val="Heading2"/>
        <w:tabs>
          <w:tab w:val="num" w:pos="1620"/>
        </w:tabs>
        <w:ind w:left="1620"/>
      </w:pPr>
      <w:r w:rsidRPr="00F739E7">
        <w:t>Response to Trouble Reports</w:t>
      </w:r>
    </w:p>
    <w:p w14:paraId="00ACD23A" w14:textId="07BC438B" w:rsidR="004D47E8" w:rsidRPr="00DF7A6F" w:rsidRDefault="004D47E8" w:rsidP="00DA430B">
      <w:pPr>
        <w:pStyle w:val="Heading2"/>
        <w:numPr>
          <w:ilvl w:val="0"/>
          <w:numId w:val="9"/>
        </w:numPr>
        <w:tabs>
          <w:tab w:val="clear" w:pos="1620"/>
        </w:tabs>
      </w:pPr>
      <w:r w:rsidRPr="00DF7A6F">
        <w:t>Contractor must provide a toll-free trouble reporting number</w:t>
      </w:r>
      <w:r>
        <w:t xml:space="preserve"> to </w:t>
      </w:r>
      <w:r w:rsidR="00523269">
        <w:t>WaTech</w:t>
      </w:r>
      <w:r w:rsidRPr="00DF7A6F">
        <w:t>.</w:t>
      </w:r>
    </w:p>
    <w:p w14:paraId="0109BA2A" w14:textId="4BC8A270" w:rsidR="004D47E8" w:rsidRPr="00C87979" w:rsidRDefault="004D47E8" w:rsidP="00DA430B">
      <w:pPr>
        <w:pStyle w:val="Heading2"/>
        <w:numPr>
          <w:ilvl w:val="0"/>
          <w:numId w:val="9"/>
        </w:numPr>
        <w:tabs>
          <w:tab w:val="clear" w:pos="1620"/>
        </w:tabs>
      </w:pPr>
      <w:r w:rsidRPr="00C87979">
        <w:t>Contractor must provide support for the Services delivered including twenty four</w:t>
      </w:r>
      <w:r w:rsidR="00406AF7">
        <w:t xml:space="preserve"> </w:t>
      </w:r>
      <w:r w:rsidRPr="00C87979">
        <w:t>(24) hours a day, seven (7) days a week, three hundred sixty five (365) days per year call center.</w:t>
      </w:r>
    </w:p>
    <w:p w14:paraId="6D378E7C" w14:textId="77777777" w:rsidR="00E51420" w:rsidRPr="005A721C" w:rsidRDefault="00E51420" w:rsidP="00E51420">
      <w:pPr>
        <w:pStyle w:val="Heading1"/>
        <w:suppressAutoHyphens/>
        <w:rPr>
          <w:noProof w:val="0"/>
          <w:color w:val="000000"/>
        </w:rPr>
      </w:pPr>
      <w:bookmarkStart w:id="22" w:name="_Toc467155066"/>
      <w:bookmarkStart w:id="23" w:name="_Toc478573239"/>
      <w:bookmarkStart w:id="24" w:name="_Toc467155072"/>
      <w:r w:rsidRPr="005A721C">
        <w:rPr>
          <w:noProof w:val="0"/>
          <w:color w:val="000000"/>
        </w:rPr>
        <w:t>Service Level</w:t>
      </w:r>
      <w:r>
        <w:rPr>
          <w:noProof w:val="0"/>
          <w:color w:val="000000"/>
        </w:rPr>
        <w:t xml:space="preserve"> Remedies</w:t>
      </w:r>
    </w:p>
    <w:p w14:paraId="07621D5A" w14:textId="77777777" w:rsidR="004D47E8" w:rsidRPr="00C633FC" w:rsidRDefault="004D47E8" w:rsidP="004D47E8">
      <w:pPr>
        <w:pStyle w:val="Heading1para"/>
        <w:rPr>
          <w:szCs w:val="24"/>
        </w:rPr>
      </w:pPr>
      <w:bookmarkStart w:id="25" w:name="_Toc467155067"/>
      <w:bookmarkStart w:id="26" w:name="_Toc472937894"/>
      <w:bookmarkEnd w:id="22"/>
      <w:bookmarkEnd w:id="23"/>
      <w:r w:rsidRPr="00C633FC">
        <w:rPr>
          <w:szCs w:val="24"/>
        </w:rPr>
        <w:t>In addition to the terms set forth in this Contract, Contractor shall use best efforts to perform the Services in accordance with the Service Level Agreements, as set forth in herein.</w:t>
      </w:r>
      <w:bookmarkEnd w:id="25"/>
      <w:bookmarkEnd w:id="26"/>
    </w:p>
    <w:p w14:paraId="5A0CB905" w14:textId="76269B8E" w:rsidR="004D47E8" w:rsidRPr="00C633FC" w:rsidRDefault="004D47E8" w:rsidP="004D47E8">
      <w:pPr>
        <w:pStyle w:val="Heading1para"/>
        <w:rPr>
          <w:szCs w:val="24"/>
        </w:rPr>
      </w:pPr>
      <w:bookmarkStart w:id="27" w:name="_Toc467155068"/>
      <w:bookmarkStart w:id="28" w:name="_Toc472937895"/>
      <w:r w:rsidRPr="00C633FC">
        <w:rPr>
          <w:szCs w:val="24"/>
        </w:rPr>
        <w:t xml:space="preserve">In the event </w:t>
      </w:r>
      <w:r w:rsidR="003134F0">
        <w:rPr>
          <w:szCs w:val="24"/>
        </w:rPr>
        <w:t xml:space="preserve">a Service experiences a Service Interruption, </w:t>
      </w:r>
      <w:r w:rsidR="00523269">
        <w:rPr>
          <w:szCs w:val="24"/>
        </w:rPr>
        <w:t>WaTech</w:t>
      </w:r>
      <w:r w:rsidRPr="00C633FC">
        <w:rPr>
          <w:szCs w:val="24"/>
        </w:rPr>
        <w:t xml:space="preserve"> shall </w:t>
      </w:r>
      <w:r w:rsidR="003134F0">
        <w:rPr>
          <w:szCs w:val="24"/>
        </w:rPr>
        <w:t xml:space="preserve">be entitled to </w:t>
      </w:r>
      <w:r w:rsidRPr="00C633FC">
        <w:rPr>
          <w:szCs w:val="24"/>
        </w:rPr>
        <w:t xml:space="preserve">Service </w:t>
      </w:r>
      <w:r w:rsidR="003134F0">
        <w:rPr>
          <w:szCs w:val="24"/>
        </w:rPr>
        <w:t>Level</w:t>
      </w:r>
      <w:r w:rsidR="003134F0" w:rsidRPr="00C633FC">
        <w:rPr>
          <w:szCs w:val="24"/>
        </w:rPr>
        <w:t xml:space="preserve"> </w:t>
      </w:r>
      <w:r w:rsidRPr="00C633FC">
        <w:rPr>
          <w:szCs w:val="24"/>
        </w:rPr>
        <w:t>Credit</w:t>
      </w:r>
      <w:r w:rsidR="003134F0">
        <w:rPr>
          <w:szCs w:val="24"/>
        </w:rPr>
        <w:t xml:space="preserve">s as required by </w:t>
      </w:r>
      <w:r w:rsidRPr="00C633FC">
        <w:rPr>
          <w:szCs w:val="24"/>
        </w:rPr>
        <w:t xml:space="preserve">the “Service Level Credits” section below which </w:t>
      </w:r>
      <w:r w:rsidR="00523269">
        <w:rPr>
          <w:szCs w:val="24"/>
        </w:rPr>
        <w:t>WaTech</w:t>
      </w:r>
      <w:r w:rsidRPr="00C633FC">
        <w:rPr>
          <w:szCs w:val="24"/>
        </w:rPr>
        <w:t xml:space="preserve"> may apply against payment of the fees and charges payable by the </w:t>
      </w:r>
      <w:r w:rsidR="00523269">
        <w:rPr>
          <w:szCs w:val="24"/>
        </w:rPr>
        <w:t>WaTech</w:t>
      </w:r>
      <w:r w:rsidRPr="00C633FC">
        <w:rPr>
          <w:szCs w:val="24"/>
        </w:rPr>
        <w:t xml:space="preserve"> to Contractor in a subsequent calendar month</w:t>
      </w:r>
      <w:r w:rsidR="003134F0">
        <w:rPr>
          <w:szCs w:val="24"/>
        </w:rPr>
        <w:t>.</w:t>
      </w:r>
    </w:p>
    <w:p w14:paraId="3522DEEA" w14:textId="72D9E3E3" w:rsidR="004D47E8" w:rsidRPr="00C633FC" w:rsidRDefault="004D47E8" w:rsidP="004D47E8">
      <w:pPr>
        <w:pStyle w:val="Heading1para"/>
        <w:rPr>
          <w:szCs w:val="24"/>
        </w:rPr>
      </w:pPr>
      <w:proofErr w:type="gramStart"/>
      <w:r w:rsidRPr="00C633FC">
        <w:rPr>
          <w:szCs w:val="24"/>
        </w:rPr>
        <w:t>In the event that</w:t>
      </w:r>
      <w:proofErr w:type="gramEnd"/>
      <w:r w:rsidRPr="00C633FC">
        <w:rPr>
          <w:szCs w:val="24"/>
        </w:rPr>
        <w:t xml:space="preserve"> this Contract expires or terminates, Contractor shall pay an amount equal to any unused credits to </w:t>
      </w:r>
      <w:r w:rsidR="00523269">
        <w:rPr>
          <w:szCs w:val="24"/>
        </w:rPr>
        <w:t>WaTech</w:t>
      </w:r>
      <w:r w:rsidRPr="00C633FC">
        <w:rPr>
          <w:szCs w:val="24"/>
        </w:rPr>
        <w:t xml:space="preserve"> within thirty (30) days after such termination or expiration.</w:t>
      </w:r>
      <w:bookmarkEnd w:id="27"/>
      <w:bookmarkEnd w:id="28"/>
    </w:p>
    <w:p w14:paraId="15CE98A4" w14:textId="7E6C0F4E" w:rsidR="004D47E8" w:rsidRPr="00C633FC" w:rsidRDefault="004D47E8" w:rsidP="004D47E8">
      <w:pPr>
        <w:pStyle w:val="Heading1para"/>
        <w:rPr>
          <w:szCs w:val="24"/>
        </w:rPr>
      </w:pPr>
      <w:r w:rsidRPr="00C633FC">
        <w:rPr>
          <w:szCs w:val="24"/>
        </w:rPr>
        <w:lastRenderedPageBreak/>
        <w:t xml:space="preserve">The Parties acknowledge and agree that, because of the unique nature of the Services contemplated by this Contract, it is difficult or impossible to determine with precision the specific </w:t>
      </w:r>
      <w:proofErr w:type="gramStart"/>
      <w:r w:rsidRPr="00C633FC">
        <w:rPr>
          <w:szCs w:val="24"/>
        </w:rPr>
        <w:t>amount</w:t>
      </w:r>
      <w:proofErr w:type="gramEnd"/>
      <w:r w:rsidRPr="00C633FC">
        <w:rPr>
          <w:szCs w:val="24"/>
        </w:rPr>
        <w:t xml:space="preserve"> of damages that might be incurred by </w:t>
      </w:r>
      <w:r w:rsidR="00523269">
        <w:rPr>
          <w:szCs w:val="24"/>
        </w:rPr>
        <w:t>WaTech</w:t>
      </w:r>
      <w:r w:rsidRPr="00C633FC">
        <w:rPr>
          <w:szCs w:val="24"/>
        </w:rPr>
        <w:t xml:space="preserve"> or any </w:t>
      </w:r>
      <w:r w:rsidR="00523269">
        <w:rPr>
          <w:szCs w:val="24"/>
        </w:rPr>
        <w:t>WaTech</w:t>
      </w:r>
      <w:r w:rsidRPr="00C633FC">
        <w:rPr>
          <w:szCs w:val="24"/>
        </w:rPr>
        <w:t xml:space="preserve"> User as a result of a </w:t>
      </w:r>
      <w:r w:rsidR="003134F0">
        <w:rPr>
          <w:szCs w:val="24"/>
        </w:rPr>
        <w:t>Service Interruption</w:t>
      </w:r>
      <w:r w:rsidRPr="00C633FC">
        <w:rPr>
          <w:szCs w:val="24"/>
        </w:rPr>
        <w:t>.</w:t>
      </w:r>
    </w:p>
    <w:p w14:paraId="31C2990E" w14:textId="554737C8" w:rsidR="004D47E8" w:rsidRPr="00C633FC" w:rsidRDefault="004D47E8" w:rsidP="004D47E8">
      <w:pPr>
        <w:pStyle w:val="Heading1para"/>
        <w:rPr>
          <w:szCs w:val="24"/>
        </w:rPr>
      </w:pPr>
      <w:r w:rsidRPr="00C633FC">
        <w:rPr>
          <w:szCs w:val="24"/>
        </w:rPr>
        <w:t xml:space="preserve">It is further understood and agreed by the Parties that </w:t>
      </w:r>
      <w:r w:rsidR="00523269">
        <w:rPr>
          <w:szCs w:val="24"/>
        </w:rPr>
        <w:t>WaTech</w:t>
      </w:r>
      <w:r w:rsidRPr="00C633FC">
        <w:rPr>
          <w:szCs w:val="24"/>
        </w:rPr>
        <w:t xml:space="preserve"> </w:t>
      </w:r>
      <w:proofErr w:type="gramStart"/>
      <w:r w:rsidRPr="00C633FC">
        <w:rPr>
          <w:szCs w:val="24"/>
        </w:rPr>
        <w:t>shall</w:t>
      </w:r>
      <w:proofErr w:type="gramEnd"/>
      <w:r w:rsidRPr="00C633FC">
        <w:rPr>
          <w:szCs w:val="24"/>
        </w:rPr>
        <w:t xml:space="preserve"> be damaged by </w:t>
      </w:r>
      <w:r w:rsidR="003134F0">
        <w:rPr>
          <w:szCs w:val="24"/>
        </w:rPr>
        <w:t>Service Interruptions</w:t>
      </w:r>
      <w:r w:rsidRPr="00C633FC">
        <w:rPr>
          <w:szCs w:val="24"/>
        </w:rPr>
        <w:t xml:space="preserve">, and that any credits that become payable </w:t>
      </w:r>
      <w:proofErr w:type="gramStart"/>
      <w:r w:rsidRPr="00C633FC">
        <w:rPr>
          <w:szCs w:val="24"/>
        </w:rPr>
        <w:t>in the nature of Service</w:t>
      </w:r>
      <w:proofErr w:type="gramEnd"/>
      <w:r w:rsidR="003134F0">
        <w:rPr>
          <w:szCs w:val="24"/>
        </w:rPr>
        <w:t xml:space="preserve"> Level</w:t>
      </w:r>
      <w:r w:rsidRPr="00C633FC">
        <w:rPr>
          <w:szCs w:val="24"/>
        </w:rPr>
        <w:t xml:space="preserve"> Credits are not penalties, are fair and reasonable under the circumstances, and that such payments represent a reasonable estimate of fair compensation.</w:t>
      </w:r>
    </w:p>
    <w:p w14:paraId="117680E3" w14:textId="77777777" w:rsidR="004D47E8" w:rsidRPr="00C633FC" w:rsidRDefault="004D47E8" w:rsidP="004D47E8">
      <w:pPr>
        <w:pStyle w:val="Heading1para"/>
        <w:rPr>
          <w:szCs w:val="24"/>
        </w:rPr>
      </w:pPr>
      <w:r w:rsidRPr="00C633FC">
        <w:rPr>
          <w:szCs w:val="24"/>
        </w:rPr>
        <w:t>Service Level Credits shall be applied to the account within two billing cycles from which the</w:t>
      </w:r>
      <w:r>
        <w:rPr>
          <w:szCs w:val="24"/>
        </w:rPr>
        <w:t xml:space="preserve"> month that </w:t>
      </w:r>
      <w:r w:rsidR="003134F0">
        <w:rPr>
          <w:szCs w:val="24"/>
        </w:rPr>
        <w:t>applicable Service Interruption occurred</w:t>
      </w:r>
      <w:r w:rsidRPr="00C633FC">
        <w:rPr>
          <w:szCs w:val="24"/>
        </w:rPr>
        <w:t xml:space="preserve">.  Award of the credit in no way relieves the Contractor of responsibility to correct </w:t>
      </w:r>
      <w:r>
        <w:rPr>
          <w:szCs w:val="24"/>
        </w:rPr>
        <w:t>any</w:t>
      </w:r>
      <w:r w:rsidRPr="00C633FC">
        <w:rPr>
          <w:szCs w:val="24"/>
        </w:rPr>
        <w:t xml:space="preserve"> </w:t>
      </w:r>
      <w:r w:rsidR="003134F0">
        <w:rPr>
          <w:szCs w:val="24"/>
        </w:rPr>
        <w:t>Service Interruption</w:t>
      </w:r>
      <w:r w:rsidRPr="00C633FC">
        <w:rPr>
          <w:szCs w:val="24"/>
        </w:rPr>
        <w:t>.</w:t>
      </w:r>
    </w:p>
    <w:p w14:paraId="0A3B2CEE" w14:textId="5A7668BB" w:rsidR="004D47E8" w:rsidRPr="00C633FC" w:rsidRDefault="004D47E8" w:rsidP="004D47E8">
      <w:pPr>
        <w:pStyle w:val="Heading1para"/>
        <w:rPr>
          <w:szCs w:val="24"/>
        </w:rPr>
      </w:pPr>
      <w:bookmarkStart w:id="29" w:name="_Toc467155069"/>
      <w:bookmarkStart w:id="30" w:name="_Toc472937896"/>
      <w:r w:rsidRPr="00C633FC">
        <w:rPr>
          <w:szCs w:val="24"/>
        </w:rPr>
        <w:t xml:space="preserve">Service Level Credits shall constitute the sole remedy for </w:t>
      </w:r>
      <w:r w:rsidR="00523269">
        <w:rPr>
          <w:szCs w:val="24"/>
        </w:rPr>
        <w:t>WaTech</w:t>
      </w:r>
      <w:r w:rsidRPr="00C633FC">
        <w:rPr>
          <w:szCs w:val="24"/>
        </w:rPr>
        <w:t xml:space="preserve"> with respect to </w:t>
      </w:r>
      <w:r w:rsidR="00337F96">
        <w:t xml:space="preserve">Service Interruptions, outage, unavailability, delay or other degradation in the Services or any </w:t>
      </w:r>
      <w:r w:rsidR="005070E1">
        <w:t xml:space="preserve">Contractor </w:t>
      </w:r>
      <w:r w:rsidR="00337F96">
        <w:t xml:space="preserve">failure to meet the objectives of the Services; provided, that, the foregoing shall not limit </w:t>
      </w:r>
      <w:proofErr w:type="spellStart"/>
      <w:r w:rsidR="00523269">
        <w:t>WaTech’s</w:t>
      </w:r>
      <w:r w:rsidR="00337F96">
        <w:t>s</w:t>
      </w:r>
      <w:proofErr w:type="spellEnd"/>
      <w:r w:rsidR="00337F96">
        <w:t xml:space="preserve"> right to terminate a Chronic Service pursuant to Section </w:t>
      </w:r>
      <w:r w:rsidR="00F864B1">
        <w:t>Titled “</w:t>
      </w:r>
      <w:r w:rsidR="00F864B1" w:rsidRPr="00F864B1">
        <w:rPr>
          <w:i/>
        </w:rPr>
        <w:t>Termination for Default</w:t>
      </w:r>
      <w:r w:rsidR="00F864B1">
        <w:t>”</w:t>
      </w:r>
      <w:r w:rsidR="00337F96">
        <w:t xml:space="preserve"> of the </w:t>
      </w:r>
      <w:r w:rsidR="00710B56">
        <w:t>NSA</w:t>
      </w:r>
      <w:r>
        <w:rPr>
          <w:szCs w:val="24"/>
        </w:rPr>
        <w:t>.</w:t>
      </w:r>
      <w:r w:rsidRPr="00C87979">
        <w:rPr>
          <w:szCs w:val="24"/>
          <w:highlight w:val="yellow"/>
        </w:rPr>
        <w:t xml:space="preserve"> </w:t>
      </w:r>
    </w:p>
    <w:p w14:paraId="1B375D3C" w14:textId="77777777" w:rsidR="004D47E8" w:rsidRPr="001F1C0E" w:rsidRDefault="004D47E8" w:rsidP="004D47E8">
      <w:pPr>
        <w:pStyle w:val="Heading1"/>
        <w:suppressAutoHyphens/>
        <w:rPr>
          <w:noProof w:val="0"/>
          <w:color w:val="000000"/>
        </w:rPr>
      </w:pPr>
      <w:bookmarkStart w:id="31" w:name="_Toc527528820"/>
      <w:bookmarkStart w:id="32" w:name="_Toc527528943"/>
      <w:bookmarkStart w:id="33" w:name="_Toc535111024"/>
      <w:bookmarkStart w:id="34" w:name="_Toc181615124"/>
      <w:bookmarkStart w:id="35" w:name="_Toc466906373"/>
      <w:bookmarkStart w:id="36" w:name="_Toc467155074"/>
      <w:bookmarkStart w:id="37" w:name="_Toc472937902"/>
      <w:bookmarkStart w:id="38" w:name="_Toc478573242"/>
      <w:bookmarkEnd w:id="0"/>
      <w:bookmarkEnd w:id="1"/>
      <w:bookmarkEnd w:id="2"/>
      <w:bookmarkEnd w:id="3"/>
      <w:bookmarkEnd w:id="24"/>
      <w:bookmarkEnd w:id="29"/>
      <w:bookmarkEnd w:id="30"/>
      <w:r>
        <w:rPr>
          <w:noProof w:val="0"/>
          <w:color w:val="000000"/>
        </w:rPr>
        <w:t>Service Level Credits</w:t>
      </w:r>
      <w:bookmarkEnd w:id="31"/>
      <w:bookmarkEnd w:id="32"/>
      <w:bookmarkEnd w:id="33"/>
      <w:bookmarkEnd w:id="34"/>
      <w:bookmarkEnd w:id="35"/>
      <w:bookmarkEnd w:id="36"/>
      <w:bookmarkEnd w:id="37"/>
      <w:bookmarkEnd w:id="38"/>
    </w:p>
    <w:p w14:paraId="3600982C" w14:textId="6E898E9E" w:rsidR="00337F96" w:rsidRDefault="00337F96" w:rsidP="00337F96">
      <w:pPr>
        <w:pStyle w:val="Heading2"/>
        <w:tabs>
          <w:tab w:val="num" w:pos="1620"/>
        </w:tabs>
        <w:ind w:left="1620"/>
      </w:pPr>
      <w:r>
        <w:t xml:space="preserve">Contractor will provide a pro-rata credit against future payment of the net monthly recurring charge for a Service Interruption, except as specified below or as may otherwise be legally required (a “Service Level Credit”). For the purposes of calculating a Service Level Credit allowance, the Service Interruption period begins when </w:t>
      </w:r>
      <w:r w:rsidR="00523269">
        <w:t>WaTech</w:t>
      </w:r>
      <w:r>
        <w:t xml:space="preserve"> reports an interruption in the portion of the Service to Contractor, a trouble ticket is opened, and the Service is released to Contractor for testing and repair. The Service Interruption ends when the affected portion of the Service has been restored and Contractor has closed the trouble ticket. Service Interruption time does not include interruptions of less than thirty (30) minutes’ duration. Service Level Credits will be as follows:</w:t>
      </w:r>
    </w:p>
    <w:p w14:paraId="4FDA8D80" w14:textId="77777777" w:rsidR="00337F96" w:rsidRPr="00C2595F" w:rsidRDefault="00337F96" w:rsidP="00337F96">
      <w:pPr>
        <w:pStyle w:val="Heading2"/>
        <w:numPr>
          <w:ilvl w:val="0"/>
          <w:numId w:val="0"/>
        </w:numPr>
        <w:tabs>
          <w:tab w:val="clear" w:pos="1620"/>
        </w:tabs>
        <w:ind w:left="1620"/>
        <w:rPr>
          <w:szCs w:val="22"/>
        </w:rPr>
      </w:pPr>
    </w:p>
    <w:tbl>
      <w:tblPr>
        <w:tblStyle w:val="TableGrid"/>
        <w:tblW w:w="8095" w:type="dxa"/>
        <w:tblInd w:w="1620" w:type="dxa"/>
        <w:tblLook w:val="04A0" w:firstRow="1" w:lastRow="0" w:firstColumn="1" w:lastColumn="0" w:noHBand="0" w:noVBand="1"/>
      </w:tblPr>
      <w:tblGrid>
        <w:gridCol w:w="4675"/>
        <w:gridCol w:w="3420"/>
      </w:tblGrid>
      <w:tr w:rsidR="00F864B1" w:rsidRPr="00C2595F" w14:paraId="3859F814" w14:textId="77777777" w:rsidTr="00C2595F">
        <w:tc>
          <w:tcPr>
            <w:tcW w:w="4675" w:type="dxa"/>
          </w:tcPr>
          <w:p w14:paraId="0E734636" w14:textId="77777777" w:rsidR="00F864B1" w:rsidRPr="00C2595F" w:rsidRDefault="00F864B1" w:rsidP="00CA77D3">
            <w:pPr>
              <w:pStyle w:val="Heading2"/>
              <w:numPr>
                <w:ilvl w:val="0"/>
                <w:numId w:val="0"/>
              </w:numPr>
              <w:tabs>
                <w:tab w:val="clear" w:pos="1620"/>
              </w:tabs>
              <w:rPr>
                <w:b/>
                <w:sz w:val="22"/>
                <w:szCs w:val="22"/>
              </w:rPr>
            </w:pPr>
            <w:r w:rsidRPr="00C2595F">
              <w:rPr>
                <w:b/>
                <w:sz w:val="22"/>
                <w:szCs w:val="22"/>
                <w:u w:val="single"/>
              </w:rPr>
              <w:t xml:space="preserve">Length of Service Interupption </w:t>
            </w:r>
          </w:p>
        </w:tc>
        <w:tc>
          <w:tcPr>
            <w:tcW w:w="3420" w:type="dxa"/>
          </w:tcPr>
          <w:p w14:paraId="77594FDE" w14:textId="77777777" w:rsidR="00F864B1" w:rsidRPr="00C2595F" w:rsidRDefault="00F864B1" w:rsidP="00CA77D3">
            <w:pPr>
              <w:pStyle w:val="Heading2"/>
              <w:numPr>
                <w:ilvl w:val="0"/>
                <w:numId w:val="0"/>
              </w:numPr>
              <w:tabs>
                <w:tab w:val="clear" w:pos="1620"/>
              </w:tabs>
              <w:rPr>
                <w:b/>
                <w:sz w:val="22"/>
                <w:szCs w:val="22"/>
                <w:u w:val="single"/>
              </w:rPr>
            </w:pPr>
            <w:r w:rsidRPr="00C2595F">
              <w:rPr>
                <w:b/>
                <w:sz w:val="22"/>
                <w:szCs w:val="22"/>
                <w:u w:val="single"/>
              </w:rPr>
              <w:t>Amount of Service Level Credit</w:t>
            </w:r>
          </w:p>
        </w:tc>
      </w:tr>
      <w:tr w:rsidR="00F864B1" w:rsidRPr="00C2595F" w14:paraId="20B12766" w14:textId="77777777" w:rsidTr="00C2595F">
        <w:tc>
          <w:tcPr>
            <w:tcW w:w="4675" w:type="dxa"/>
          </w:tcPr>
          <w:p w14:paraId="6E8ED7A0" w14:textId="77777777" w:rsidR="00F864B1" w:rsidRPr="00C2595F" w:rsidRDefault="00F864B1" w:rsidP="00CA77D3">
            <w:pPr>
              <w:pStyle w:val="Heading2"/>
              <w:numPr>
                <w:ilvl w:val="0"/>
                <w:numId w:val="0"/>
              </w:numPr>
              <w:tabs>
                <w:tab w:val="clear" w:pos="1620"/>
              </w:tabs>
              <w:rPr>
                <w:sz w:val="22"/>
                <w:szCs w:val="22"/>
              </w:rPr>
            </w:pPr>
            <w:r w:rsidRPr="00C2595F">
              <w:rPr>
                <w:sz w:val="22"/>
                <w:szCs w:val="22"/>
              </w:rPr>
              <w:t>At least 4 hours and up to and including 24 hours</w:t>
            </w:r>
          </w:p>
        </w:tc>
        <w:tc>
          <w:tcPr>
            <w:tcW w:w="3420" w:type="dxa"/>
          </w:tcPr>
          <w:p w14:paraId="78F31673" w14:textId="77777777" w:rsidR="00F864B1" w:rsidRPr="00C2595F" w:rsidRDefault="00F864B1" w:rsidP="00CA77D3">
            <w:pPr>
              <w:pStyle w:val="Heading2"/>
              <w:numPr>
                <w:ilvl w:val="0"/>
                <w:numId w:val="0"/>
              </w:numPr>
              <w:tabs>
                <w:tab w:val="clear" w:pos="1620"/>
              </w:tabs>
              <w:rPr>
                <w:sz w:val="22"/>
                <w:szCs w:val="22"/>
              </w:rPr>
            </w:pPr>
            <w:r w:rsidRPr="00C2595F">
              <w:rPr>
                <w:sz w:val="22"/>
                <w:szCs w:val="22"/>
              </w:rPr>
              <w:t>1 full day</w:t>
            </w:r>
          </w:p>
        </w:tc>
      </w:tr>
    </w:tbl>
    <w:p w14:paraId="47414401" w14:textId="77777777" w:rsidR="00337F96" w:rsidRDefault="00337F96" w:rsidP="00337F96">
      <w:pPr>
        <w:pStyle w:val="Heading2"/>
        <w:numPr>
          <w:ilvl w:val="0"/>
          <w:numId w:val="0"/>
        </w:numPr>
        <w:tabs>
          <w:tab w:val="clear" w:pos="1620"/>
        </w:tabs>
        <w:ind w:left="1620"/>
      </w:pPr>
    </w:p>
    <w:p w14:paraId="2DDAACF0" w14:textId="012D4594" w:rsidR="00337F96" w:rsidRDefault="00337F96" w:rsidP="00337F96">
      <w:pPr>
        <w:pStyle w:val="Heading2"/>
        <w:numPr>
          <w:ilvl w:val="0"/>
          <w:numId w:val="0"/>
        </w:numPr>
        <w:tabs>
          <w:tab w:val="clear" w:pos="1620"/>
        </w:tabs>
        <w:ind w:left="1620"/>
      </w:pPr>
      <w:r>
        <w:t xml:space="preserve">The total number of Service Level Credit allowances per month shall not exceed the total monthly recurring charge for the affected Service. Credit allowances will not be made for less than $1.00, unless required under applicable law. </w:t>
      </w:r>
    </w:p>
    <w:p w14:paraId="39292D1C" w14:textId="130AC4BB" w:rsidR="00337F96" w:rsidRDefault="00337F96" w:rsidP="00337F96">
      <w:pPr>
        <w:pStyle w:val="Heading2"/>
        <w:tabs>
          <w:tab w:val="num" w:pos="1620"/>
        </w:tabs>
        <w:ind w:left="1620"/>
      </w:pPr>
      <w:r>
        <w:t xml:space="preserve">Nothwithstanding </w:t>
      </w:r>
      <w:r w:rsidR="00406AF7">
        <w:t xml:space="preserve">anything </w:t>
      </w:r>
      <w:r>
        <w:t xml:space="preserve">to the contrary contained in Section 11.1 or this Addendum, a Service Interruption shall not qualify for Service Level Credits if such Service Interruption is related to, associated with, or caused by: scheduled maintenance events; </w:t>
      </w:r>
      <w:r w:rsidR="00523269">
        <w:t>WaTech</w:t>
      </w:r>
      <w:r>
        <w:t xml:space="preserve"> or </w:t>
      </w:r>
      <w:r w:rsidR="00523269">
        <w:t>WaTech</w:t>
      </w:r>
      <w:r>
        <w:t xml:space="preserve"> User(s) actions or inactions; </w:t>
      </w:r>
      <w:r w:rsidR="00523269">
        <w:t>WaTech</w:t>
      </w:r>
      <w:r>
        <w:t xml:space="preserve"> or </w:t>
      </w:r>
      <w:r w:rsidR="00523269">
        <w:t>WaTech</w:t>
      </w:r>
      <w:r>
        <w:t xml:space="preserve"> User provided power or equipment; any third party not contracted through Contractor, including, without limitation, </w:t>
      </w:r>
      <w:r w:rsidR="00523269">
        <w:t>WaTech’s</w:t>
      </w:r>
      <w:r>
        <w:t xml:space="preserve">s or </w:t>
      </w:r>
      <w:r w:rsidR="00523269">
        <w:t>WaTech</w:t>
      </w:r>
      <w:r>
        <w:t xml:space="preserve"> Users’ users, third-party network providers; any power, equipment or services provided by third parties; or an event of force majeure as defined in </w:t>
      </w:r>
      <w:r w:rsidR="00D361E6">
        <w:t xml:space="preserve">the </w:t>
      </w:r>
      <w:r w:rsidR="00710B56">
        <w:t>NSA</w:t>
      </w:r>
      <w:r>
        <w:t xml:space="preserve">, unless otherwise provided under applicable law. </w:t>
      </w:r>
    </w:p>
    <w:p w14:paraId="7BB44E4E" w14:textId="77777777" w:rsidR="004D47E8" w:rsidRPr="003F57CE" w:rsidRDefault="004D47E8" w:rsidP="004D47E8">
      <w:pPr>
        <w:pStyle w:val="Heading1"/>
        <w:rPr>
          <w:bCs/>
        </w:rPr>
      </w:pPr>
      <w:bookmarkStart w:id="39" w:name="_Toc59620233"/>
      <w:bookmarkStart w:id="40" w:name="_Toc355264939"/>
      <w:bookmarkStart w:id="41" w:name="_Toc478573243"/>
      <w:r w:rsidRPr="00970FD4">
        <w:lastRenderedPageBreak/>
        <w:t>Proprietary or Confidential Information</w:t>
      </w:r>
      <w:bookmarkEnd w:id="39"/>
      <w:bookmarkEnd w:id="40"/>
      <w:bookmarkEnd w:id="41"/>
    </w:p>
    <w:p w14:paraId="4F2CFCF2" w14:textId="5C9490A5" w:rsidR="004D47E8" w:rsidRPr="00C633FC" w:rsidRDefault="004D47E8" w:rsidP="004D47E8">
      <w:pPr>
        <w:pStyle w:val="Heading1para"/>
        <w:rPr>
          <w:szCs w:val="24"/>
        </w:rPr>
      </w:pPr>
      <w:r w:rsidRPr="00C633FC">
        <w:rPr>
          <w:szCs w:val="24"/>
        </w:rPr>
        <w:t xml:space="preserve">Any information contained in the Contractor’s Response to a </w:t>
      </w:r>
      <w:r w:rsidR="00523269">
        <w:rPr>
          <w:szCs w:val="24"/>
        </w:rPr>
        <w:t>WaTech</w:t>
      </w:r>
      <w:r w:rsidRPr="00C633FC">
        <w:rPr>
          <w:szCs w:val="24"/>
        </w:rPr>
        <w:t xml:space="preserve"> Procurement Document that is proprietary or confidential must be clearly </w:t>
      </w:r>
      <w:r w:rsidRPr="00C87979">
        <w:rPr>
          <w:szCs w:val="24"/>
        </w:rPr>
        <w:t>designated</w:t>
      </w:r>
      <w:r>
        <w:rPr>
          <w:szCs w:val="24"/>
        </w:rPr>
        <w:t xml:space="preserve"> as such</w:t>
      </w:r>
      <w:r w:rsidRPr="00C633FC">
        <w:rPr>
          <w:szCs w:val="24"/>
        </w:rPr>
        <w:t xml:space="preserve">. Marking of the entire Response or entire sections of the Response as proprietary or confidential will not be accepted nor honored. </w:t>
      </w:r>
      <w:r w:rsidR="00523269">
        <w:rPr>
          <w:szCs w:val="24"/>
        </w:rPr>
        <w:t>WaTech</w:t>
      </w:r>
      <w:r w:rsidRPr="00C633FC">
        <w:rPr>
          <w:szCs w:val="24"/>
        </w:rPr>
        <w:t xml:space="preserve"> will not accept Responses </w:t>
      </w:r>
      <w:r>
        <w:rPr>
          <w:szCs w:val="24"/>
        </w:rPr>
        <w:t>in which</w:t>
      </w:r>
      <w:r w:rsidRPr="00C633FC">
        <w:rPr>
          <w:szCs w:val="24"/>
        </w:rPr>
        <w:t xml:space="preserve"> pricing is marked proprietary or confidential, and the Response will be rejected.</w:t>
      </w:r>
    </w:p>
    <w:p w14:paraId="0BF0BE70" w14:textId="17172F04" w:rsidR="004D47E8" w:rsidRPr="00C633FC" w:rsidRDefault="004D47E8" w:rsidP="004D47E8">
      <w:pPr>
        <w:pStyle w:val="Heading1para"/>
        <w:rPr>
          <w:szCs w:val="24"/>
        </w:rPr>
      </w:pPr>
      <w:r w:rsidRPr="00C633FC">
        <w:rPr>
          <w:szCs w:val="24"/>
        </w:rPr>
        <w:t xml:space="preserve">To the extent consistent with chapter 42.56 RCW, the Public Disclosure Act, </w:t>
      </w:r>
      <w:r w:rsidR="00523269">
        <w:rPr>
          <w:szCs w:val="24"/>
        </w:rPr>
        <w:t>WaTech</w:t>
      </w:r>
      <w:r w:rsidRPr="00C633FC">
        <w:rPr>
          <w:szCs w:val="24"/>
        </w:rPr>
        <w:t xml:space="preserve"> shall maintain the confidentiality of the Contractor’s information marked confidential or proprietary. If a request is made to view </w:t>
      </w:r>
      <w:r w:rsidR="00253A57">
        <w:rPr>
          <w:szCs w:val="24"/>
        </w:rPr>
        <w:t>Contractor’s</w:t>
      </w:r>
      <w:r w:rsidR="00253A57" w:rsidRPr="00C633FC">
        <w:rPr>
          <w:szCs w:val="24"/>
        </w:rPr>
        <w:t xml:space="preserve"> </w:t>
      </w:r>
      <w:r w:rsidRPr="00C633FC">
        <w:rPr>
          <w:szCs w:val="24"/>
        </w:rPr>
        <w:t xml:space="preserve">proprietary information, </w:t>
      </w:r>
      <w:r w:rsidR="00523269">
        <w:rPr>
          <w:szCs w:val="24"/>
        </w:rPr>
        <w:t>WaTech</w:t>
      </w:r>
      <w:r w:rsidRPr="00C633FC">
        <w:rPr>
          <w:szCs w:val="24"/>
        </w:rPr>
        <w:t xml:space="preserve"> will notify the Contractor of the request and of the date that the records will be released to the requester unless the Contractor obtains a court order enjoining that disclosure. If the Contractor fails to obtain the court order enjoining disclosure, </w:t>
      </w:r>
      <w:r w:rsidR="00523269">
        <w:rPr>
          <w:szCs w:val="24"/>
        </w:rPr>
        <w:t>WaTech</w:t>
      </w:r>
      <w:r w:rsidRPr="00C633FC">
        <w:rPr>
          <w:szCs w:val="24"/>
        </w:rPr>
        <w:t xml:space="preserve"> will release the requested information on the date specified.</w:t>
      </w:r>
    </w:p>
    <w:p w14:paraId="2DC67F18" w14:textId="3E3877E5" w:rsidR="004D47E8" w:rsidRDefault="004D47E8" w:rsidP="004D47E8">
      <w:pPr>
        <w:pStyle w:val="Heading1para"/>
        <w:rPr>
          <w:szCs w:val="24"/>
        </w:rPr>
      </w:pPr>
      <w:r w:rsidRPr="00C633FC">
        <w:rPr>
          <w:szCs w:val="24"/>
        </w:rPr>
        <w:t xml:space="preserve">The State’s sole responsibility shall be limited to maintaining the above data in a secure area and to notify the Contractor of any request(s) for disclosure for so long as </w:t>
      </w:r>
      <w:r w:rsidR="00523269">
        <w:rPr>
          <w:szCs w:val="24"/>
        </w:rPr>
        <w:t>WaTech</w:t>
      </w:r>
      <w:r w:rsidRPr="00C633FC">
        <w:rPr>
          <w:szCs w:val="24"/>
        </w:rPr>
        <w:t xml:space="preserve"> retains the Contractor’s information in </w:t>
      </w:r>
      <w:r w:rsidR="00523269">
        <w:rPr>
          <w:szCs w:val="24"/>
        </w:rPr>
        <w:t>WaTech</w:t>
      </w:r>
      <w:r w:rsidRPr="00C633FC">
        <w:rPr>
          <w:szCs w:val="24"/>
        </w:rPr>
        <w:t xml:space="preserve"> records. Failure to so label such materials or failure to timely respond after notice of request for public disclosure has been given shall be deemed a waiver by the Contractor of any claim that such materials are exempt from disclosure.</w:t>
      </w:r>
    </w:p>
    <w:p w14:paraId="33067C3C" w14:textId="77777777" w:rsidR="00847402" w:rsidRPr="003836CC" w:rsidRDefault="00847402" w:rsidP="00064EF0">
      <w:pPr>
        <w:pStyle w:val="Heading1"/>
      </w:pPr>
      <w:r w:rsidRPr="003836CC">
        <w:t>Privacy Protections</w:t>
      </w:r>
    </w:p>
    <w:p w14:paraId="1AD8CC56" w14:textId="77777777" w:rsidR="00847402" w:rsidRPr="00F57DD5" w:rsidRDefault="00847402" w:rsidP="00064EF0">
      <w:pPr>
        <w:pStyle w:val="Heading1para"/>
        <w:rPr>
          <w:szCs w:val="24"/>
        </w:rPr>
      </w:pPr>
      <w:r w:rsidRPr="003836CC">
        <w:rPr>
          <w:szCs w:val="24"/>
        </w:rPr>
        <w:t xml:space="preserve">At a minimum, </w:t>
      </w:r>
      <w:r w:rsidR="00253A57" w:rsidRPr="003836CC">
        <w:rPr>
          <w:szCs w:val="24"/>
        </w:rPr>
        <w:t xml:space="preserve">Contractor </w:t>
      </w:r>
      <w:r w:rsidRPr="003836CC">
        <w:rPr>
          <w:szCs w:val="24"/>
        </w:rPr>
        <w:t xml:space="preserve">shall adhere to </w:t>
      </w:r>
      <w:r w:rsidR="00253A57" w:rsidRPr="003836CC">
        <w:rPr>
          <w:szCs w:val="24"/>
        </w:rPr>
        <w:t xml:space="preserve">any applicable </w:t>
      </w:r>
      <w:r w:rsidRPr="003836CC">
        <w:rPr>
          <w:szCs w:val="24"/>
        </w:rPr>
        <w:t xml:space="preserve">privacy, transparency and security </w:t>
      </w:r>
      <w:r w:rsidR="00253A57" w:rsidRPr="003836CC">
        <w:rPr>
          <w:szCs w:val="24"/>
        </w:rPr>
        <w:t>laws designed to</w:t>
      </w:r>
      <w:r w:rsidRPr="003836CC">
        <w:rPr>
          <w:szCs w:val="24"/>
        </w:rPr>
        <w:t xml:space="preserve"> protect the privacy of customer information and deploy measures that both directly </w:t>
      </w:r>
      <w:r w:rsidR="00253A57" w:rsidRPr="003836CC">
        <w:rPr>
          <w:szCs w:val="24"/>
        </w:rPr>
        <w:t xml:space="preserve">protect </w:t>
      </w:r>
      <w:r w:rsidRPr="003836CC">
        <w:rPr>
          <w:szCs w:val="24"/>
        </w:rPr>
        <w:t xml:space="preserve">consumers from harm and </w:t>
      </w:r>
      <w:r w:rsidR="00253A57" w:rsidRPr="003836CC">
        <w:rPr>
          <w:szCs w:val="24"/>
        </w:rPr>
        <w:t xml:space="preserve">minimize </w:t>
      </w:r>
      <w:r w:rsidRPr="003836CC">
        <w:rPr>
          <w:szCs w:val="24"/>
        </w:rPr>
        <w:t xml:space="preserve">the consumer concerns about using the Internet that could deter broadband deployment. </w:t>
      </w:r>
      <w:r w:rsidR="00214A27" w:rsidRPr="003836CC">
        <w:rPr>
          <w:szCs w:val="24"/>
        </w:rPr>
        <w:t>Contractor</w:t>
      </w:r>
      <w:r w:rsidR="00253A57" w:rsidRPr="003836CC">
        <w:rPr>
          <w:szCs w:val="24"/>
        </w:rPr>
        <w:t xml:space="preserve"> </w:t>
      </w:r>
      <w:r w:rsidRPr="003836CC">
        <w:rPr>
          <w:szCs w:val="24"/>
        </w:rPr>
        <w:t xml:space="preserve">shall adopt practices appropriately calibrated to the nature and scope of its activities, the sensitivity of the underlying data, the size of the </w:t>
      </w:r>
      <w:r w:rsidR="00253A57" w:rsidRPr="003836CC">
        <w:rPr>
          <w:szCs w:val="24"/>
        </w:rPr>
        <w:t xml:space="preserve">provider </w:t>
      </w:r>
      <w:r w:rsidRPr="003836CC">
        <w:rPr>
          <w:szCs w:val="24"/>
        </w:rPr>
        <w:t>and the technical feasibility.</w:t>
      </w:r>
      <w:r w:rsidRPr="00F57DD5">
        <w:rPr>
          <w:szCs w:val="24"/>
        </w:rPr>
        <w:t xml:space="preserve"> </w:t>
      </w:r>
    </w:p>
    <w:p w14:paraId="0A23BE1C" w14:textId="77777777" w:rsidR="00337F96" w:rsidRDefault="00337F96" w:rsidP="00337F96">
      <w:pPr>
        <w:pStyle w:val="Heading1"/>
      </w:pPr>
      <w:r>
        <w:t>Prohibited Uses and Privacy Policy</w:t>
      </w:r>
      <w:r w:rsidR="00070552">
        <w:t xml:space="preserve">. </w:t>
      </w:r>
    </w:p>
    <w:p w14:paraId="1840FADC" w14:textId="77777777" w:rsidR="005070E1" w:rsidRDefault="00337F96" w:rsidP="0068199D">
      <w:pPr>
        <w:pStyle w:val="Heading2"/>
        <w:tabs>
          <w:tab w:val="clear" w:pos="1620"/>
        </w:tabs>
        <w:ind w:left="1350"/>
      </w:pPr>
      <w:r>
        <w:t>Resale</w:t>
      </w:r>
    </w:p>
    <w:p w14:paraId="0FE496BA" w14:textId="0326D2DE" w:rsidR="00CC42BC" w:rsidRDefault="00523269" w:rsidP="00613EEE">
      <w:pPr>
        <w:pStyle w:val="Heading2"/>
        <w:numPr>
          <w:ilvl w:val="0"/>
          <w:numId w:val="0"/>
        </w:numPr>
        <w:tabs>
          <w:tab w:val="clear" w:pos="1620"/>
        </w:tabs>
        <w:ind w:left="1350"/>
      </w:pPr>
      <w:r>
        <w:t>WaTech</w:t>
      </w:r>
      <w:r w:rsidR="00070552">
        <w:t xml:space="preserve"> and </w:t>
      </w:r>
      <w:r>
        <w:t>WaTech</w:t>
      </w:r>
      <w:r w:rsidR="00070552">
        <w:t xml:space="preserve"> User may not sell, resell, sublease, assign, license, sublicense, share, provide, or otherwise utilize in conjunction with a third party (including, without limitation, in any joint venture or as part of any outsourcing activity) the Services or any component thereof. </w:t>
      </w:r>
      <w:r w:rsidR="003836CC" w:rsidRPr="003836CC">
        <w:t xml:space="preserve"> </w:t>
      </w:r>
      <w:r w:rsidR="003836CC">
        <w:t xml:space="preserve">For purposes of this addendum, use and provisioning of the Services consistent with </w:t>
      </w:r>
      <w:r>
        <w:t>WaTech’s</w:t>
      </w:r>
      <w:r w:rsidR="003836CC">
        <w:t xml:space="preserve"> provider status in accordance with RCW 43.105 do not breach any term of this agreement or this subsection.</w:t>
      </w:r>
    </w:p>
    <w:p w14:paraId="18534AD0" w14:textId="77777777" w:rsidR="00FD20B7" w:rsidRDefault="00FD20B7" w:rsidP="00FD20B7">
      <w:pPr>
        <w:pStyle w:val="Heading1"/>
      </w:pPr>
      <w:r>
        <w:t>Limitation of Liability; Disclaimer of Warranties</w:t>
      </w:r>
    </w:p>
    <w:p w14:paraId="4E1340C8" w14:textId="25ED4DAC" w:rsidR="00FD20B7" w:rsidRDefault="00FD20B7" w:rsidP="005070E1">
      <w:pPr>
        <w:pStyle w:val="Heading2"/>
        <w:tabs>
          <w:tab w:val="clear" w:pos="1620"/>
        </w:tabs>
        <w:ind w:left="1350"/>
      </w:pPr>
      <w:r>
        <w:t xml:space="preserve">NOTWITHSTANDING ANYTHING TO THE CONTRARY CONTAINED IN THE </w:t>
      </w:r>
      <w:r w:rsidR="00710B56">
        <w:t>NSA</w:t>
      </w:r>
      <w:r>
        <w:t xml:space="preserve"> OR THIS ADDENDUM, IN NO EVENT SHALL CONTRACTOR BE LIABLE FOR ANY LOSS, DAMAGE OR CLAIM ARISING OUT OF OR RELATED TO: (1) STORED, TRANSMITTED, OR RECORDED DATA, FILES, OR SOFTWARE; (2) ANY ACT OR OMISSION OF </w:t>
      </w:r>
      <w:r w:rsidR="00523269">
        <w:t>WaTech</w:t>
      </w:r>
      <w:r>
        <w:t xml:space="preserve">, </w:t>
      </w:r>
      <w:r w:rsidR="00523269">
        <w:t>WaTech</w:t>
      </w:r>
      <w:r>
        <w:t xml:space="preserve"> USERS, THEIR RESPECTIVE USERS OR THIRD PARTIES; (3) INTEROPERABILITY, INTERACTION OR INTERCONNECTION OF THE SERVICES WITH APPLICATIONS, EQUIPMENT, SERVICES OR NETWORKS PROVIDED BY </w:t>
      </w:r>
      <w:r w:rsidR="00523269">
        <w:t>WaTech</w:t>
      </w:r>
      <w:r>
        <w:t xml:space="preserve">, </w:t>
      </w:r>
      <w:r w:rsidR="00523269">
        <w:t>WaTech</w:t>
      </w:r>
      <w:r>
        <w:t xml:space="preserve"> USERS OR THIRD PARTIES; OR (4) LOSS OR DESTRUCTION OF ANY </w:t>
      </w:r>
      <w:r w:rsidR="00523269">
        <w:t>WaTech</w:t>
      </w:r>
      <w:r>
        <w:t xml:space="preserve"> OR </w:t>
      </w:r>
      <w:r w:rsidR="00523269">
        <w:t>WaTech</w:t>
      </w:r>
      <w:r>
        <w:t xml:space="preserve"> USERS HARDWARE, SOFTWARE, FILES OR DATA RESULTING FROM ANY VIRUS OR </w:t>
      </w:r>
      <w:r>
        <w:lastRenderedPageBreak/>
        <w:t xml:space="preserve">OTHER HARMFUL FEATURE OR FROM ANY ATTEMPT TO REMOVE IT. </w:t>
      </w:r>
      <w:r w:rsidR="00523269">
        <w:t>WaTech</w:t>
      </w:r>
      <w:r>
        <w:t xml:space="preserve"> AND </w:t>
      </w:r>
      <w:r w:rsidR="00523269">
        <w:t>WaTech</w:t>
      </w:r>
      <w:r>
        <w:t xml:space="preserve"> USERS ARE SOLELY RESPONSIBLE FOR BACKING UP THEIR RESPECTIVE DATA, FILES, AND SOFTWARE PRIOR TO THE INSTALLATION OF SERVICE AND AT REGULAR INTERVALS THEREAFTER.</w:t>
      </w:r>
    </w:p>
    <w:p w14:paraId="53A9193D" w14:textId="0701066D" w:rsidR="00FD20B7" w:rsidRPr="005070E1" w:rsidRDefault="00FD20B7" w:rsidP="005070E1">
      <w:pPr>
        <w:pStyle w:val="Heading2"/>
        <w:tabs>
          <w:tab w:val="clear" w:pos="1620"/>
        </w:tabs>
        <w:ind w:left="1350"/>
      </w:pPr>
      <w:r>
        <w:t xml:space="preserve">THERE ARE NO WARRANTIES, EXPRESS OR IMPLIED, INCLUDING WITHOUT LIMITATION ANY IMPLIED WARRANTY OF MERCHANTABILITY, FITNESS FOR A PARTICULAR PURPOSE, TITLE AND NONINFRINGEMENT WITH RESPECT TO THE SERVICES, CONTRACTOR EQUIPMENT, OR CONTRACTOR SOFTWARE. ALL SUCH WARRANTIES ARE HEREBY EXPRESSLY DISCLAIMED TO THE MAXIMUM EXTENT ALLOWED BY LAW. WITHOUT LIMITING THE GENERALITY OF THE FOREGOING, CONTRACTOR DOES NOT WARRANT THAT THE SERVICES, CONTRACTOR EQUIPMENT OR SOFTWARE WILL BE UNINTERRUPTED, ERROR-FREE, OR FREE OF LATENCY OR DELAY, OR THAT THE SERVICES, CONTRACTOR EQUIPMENT, OR CONTRACTOR SOFTWARE WILL MEET </w:t>
      </w:r>
      <w:r w:rsidR="00523269">
        <w:t>WaTech</w:t>
      </w:r>
      <w:r>
        <w:t xml:space="preserve"> REQUIREMENTS, OR THAT THE SERVICES, CONTRACTOR EQUIPMENT, OR CONTRACTOR SOFTWARE WILL PREVENT UNAUTHORIZED ACCESS BY THIRD PARTIES. </w:t>
      </w:r>
      <w:r w:rsidRPr="005070E1">
        <w:t>Customer acknowledges and agrees that the Services are not fail-safe and are not designed or intended for use in situations requiring failsafe performance or in which an error or interruption in the Services could lead to severe injury to business, persons, property or environment.</w:t>
      </w:r>
    </w:p>
    <w:p w14:paraId="193A182C" w14:textId="77777777" w:rsidR="000D49B6" w:rsidRDefault="000D49B6">
      <w:pPr>
        <w:spacing w:after="160" w:line="259" w:lineRule="auto"/>
      </w:pPr>
    </w:p>
    <w:p w14:paraId="64BE0FBF" w14:textId="77777777" w:rsidR="004D47E8" w:rsidRDefault="004D47E8" w:rsidP="004D47E8">
      <w:pPr>
        <w:pStyle w:val="Heading1para"/>
        <w:ind w:left="0"/>
      </w:pPr>
    </w:p>
    <w:p w14:paraId="6A6F0254" w14:textId="77777777" w:rsidR="004D47E8" w:rsidRDefault="004D47E8" w:rsidP="004D47E8">
      <w:pPr>
        <w:pStyle w:val="Heading1para"/>
        <w:ind w:left="0"/>
      </w:pPr>
      <w:r>
        <w:t xml:space="preserve">The Effective Date of this Technical Addendum shall be the date of last signature below. </w:t>
      </w:r>
    </w:p>
    <w:p w14:paraId="3FB93897" w14:textId="77777777" w:rsidR="004D47E8" w:rsidRPr="007A1D8A" w:rsidRDefault="004D47E8" w:rsidP="004D47E8">
      <w:pPr>
        <w:pStyle w:val="Heading1para"/>
        <w:ind w:left="0"/>
      </w:pPr>
    </w:p>
    <w:tbl>
      <w:tblPr>
        <w:tblW w:w="9558" w:type="dxa"/>
        <w:tblLayout w:type="fixed"/>
        <w:tblLook w:val="0000" w:firstRow="0" w:lastRow="0" w:firstColumn="0" w:lastColumn="0" w:noHBand="0" w:noVBand="0"/>
      </w:tblPr>
      <w:tblGrid>
        <w:gridCol w:w="4518"/>
        <w:gridCol w:w="252"/>
        <w:gridCol w:w="180"/>
        <w:gridCol w:w="18"/>
        <w:gridCol w:w="4590"/>
      </w:tblGrid>
      <w:tr w:rsidR="004D47E8" w:rsidRPr="005A721C" w14:paraId="12CA581A" w14:textId="77777777" w:rsidTr="0086604C">
        <w:tc>
          <w:tcPr>
            <w:tcW w:w="4518" w:type="dxa"/>
          </w:tcPr>
          <w:p w14:paraId="3FBCDE29" w14:textId="77777777" w:rsidR="004D47E8" w:rsidRPr="005A721C" w:rsidRDefault="004D47E8" w:rsidP="00EF54F8">
            <w:pPr>
              <w:spacing w:after="120"/>
            </w:pPr>
            <w:r w:rsidRPr="005A721C">
              <w:rPr>
                <w:b/>
              </w:rPr>
              <w:t>Approved</w:t>
            </w:r>
          </w:p>
        </w:tc>
        <w:tc>
          <w:tcPr>
            <w:tcW w:w="432" w:type="dxa"/>
            <w:gridSpan w:val="2"/>
          </w:tcPr>
          <w:p w14:paraId="4BA3948C" w14:textId="77777777" w:rsidR="004D47E8" w:rsidRPr="005A721C" w:rsidRDefault="004D47E8" w:rsidP="00EF54F8">
            <w:pPr>
              <w:spacing w:after="120"/>
            </w:pPr>
          </w:p>
        </w:tc>
        <w:tc>
          <w:tcPr>
            <w:tcW w:w="4608" w:type="dxa"/>
            <w:gridSpan w:val="2"/>
          </w:tcPr>
          <w:p w14:paraId="5D86ADE7" w14:textId="77777777" w:rsidR="004D47E8" w:rsidRPr="005A721C" w:rsidRDefault="004D47E8" w:rsidP="00EF54F8">
            <w:pPr>
              <w:spacing w:after="120"/>
            </w:pPr>
            <w:r w:rsidRPr="005A721C">
              <w:rPr>
                <w:b/>
              </w:rPr>
              <w:t>Approved</w:t>
            </w:r>
          </w:p>
        </w:tc>
      </w:tr>
      <w:tr w:rsidR="004D47E8" w:rsidRPr="005A721C" w14:paraId="213F3755" w14:textId="77777777" w:rsidTr="0086604C">
        <w:tc>
          <w:tcPr>
            <w:tcW w:w="4518" w:type="dxa"/>
          </w:tcPr>
          <w:p w14:paraId="77A2A779" w14:textId="77777777" w:rsidR="004D47E8" w:rsidRPr="005A721C" w:rsidRDefault="004D47E8" w:rsidP="00EF54F8">
            <w:r w:rsidRPr="005A721C">
              <w:t>State of Washington</w:t>
            </w:r>
          </w:p>
          <w:p w14:paraId="35FFB87B" w14:textId="158A572C" w:rsidR="004D47E8" w:rsidRPr="005A721C" w:rsidRDefault="00411EC2" w:rsidP="00EF54F8">
            <w:r>
              <w:t>Washington Technology Solutions</w:t>
            </w:r>
          </w:p>
        </w:tc>
        <w:tc>
          <w:tcPr>
            <w:tcW w:w="252" w:type="dxa"/>
          </w:tcPr>
          <w:p w14:paraId="2E551356" w14:textId="77777777" w:rsidR="004D47E8" w:rsidRPr="005A721C" w:rsidRDefault="004D47E8" w:rsidP="00EF54F8"/>
        </w:tc>
        <w:tc>
          <w:tcPr>
            <w:tcW w:w="4788" w:type="dxa"/>
            <w:gridSpan w:val="3"/>
          </w:tcPr>
          <w:p w14:paraId="10D39D1E" w14:textId="0A298BDB" w:rsidR="004D47E8" w:rsidRPr="005A721C" w:rsidRDefault="00BB2DF2" w:rsidP="00EF54F8">
            <w:pPr>
              <w:pStyle w:val="Header"/>
              <w:tabs>
                <w:tab w:val="clear" w:pos="4320"/>
                <w:tab w:val="clear" w:pos="8640"/>
              </w:tabs>
              <w:rPr>
                <w:iCs/>
                <w:sz w:val="24"/>
                <w:szCs w:val="24"/>
              </w:rPr>
            </w:pPr>
            <w:r>
              <w:rPr>
                <w:iCs/>
                <w:sz w:val="24"/>
                <w:szCs w:val="24"/>
              </w:rPr>
              <w:t xml:space="preserve">   Vendor</w:t>
            </w:r>
          </w:p>
        </w:tc>
      </w:tr>
      <w:tr w:rsidR="004D47E8" w:rsidRPr="005A721C" w14:paraId="6BE9FA25" w14:textId="77777777" w:rsidTr="00EF54F8">
        <w:trPr>
          <w:trHeight w:val="960"/>
        </w:trPr>
        <w:tc>
          <w:tcPr>
            <w:tcW w:w="4518" w:type="dxa"/>
          </w:tcPr>
          <w:p w14:paraId="113A6A89" w14:textId="5C03CB76" w:rsidR="004D47E8" w:rsidRPr="005A721C" w:rsidRDefault="00BB2DF2" w:rsidP="00EF54F8">
            <w:r>
              <w:t xml:space="preserve"> </w:t>
            </w:r>
          </w:p>
        </w:tc>
        <w:tc>
          <w:tcPr>
            <w:tcW w:w="450" w:type="dxa"/>
            <w:gridSpan w:val="3"/>
          </w:tcPr>
          <w:p w14:paraId="0915B528" w14:textId="77777777" w:rsidR="004D47E8" w:rsidRPr="005A721C" w:rsidRDefault="004D47E8" w:rsidP="00EF54F8"/>
        </w:tc>
        <w:tc>
          <w:tcPr>
            <w:tcW w:w="4590" w:type="dxa"/>
          </w:tcPr>
          <w:p w14:paraId="20D37987" w14:textId="77777777" w:rsidR="004D47E8" w:rsidRPr="005A721C" w:rsidRDefault="004D47E8" w:rsidP="00EF54F8">
            <w:pPr>
              <w:pStyle w:val="Header"/>
              <w:tabs>
                <w:tab w:val="clear" w:pos="4320"/>
                <w:tab w:val="clear" w:pos="8640"/>
              </w:tabs>
            </w:pPr>
          </w:p>
        </w:tc>
      </w:tr>
      <w:tr w:rsidR="004D47E8" w:rsidRPr="005A721C" w14:paraId="51AFA2B7" w14:textId="77777777" w:rsidTr="00EF54F8">
        <w:tc>
          <w:tcPr>
            <w:tcW w:w="4518" w:type="dxa"/>
            <w:tcBorders>
              <w:top w:val="single" w:sz="12" w:space="0" w:color="auto"/>
            </w:tcBorders>
          </w:tcPr>
          <w:p w14:paraId="0A2E4FEF" w14:textId="77777777" w:rsidR="004D47E8" w:rsidRPr="005A721C" w:rsidRDefault="004D47E8" w:rsidP="00EF54F8">
            <w:pPr>
              <w:rPr>
                <w:i/>
                <w:iCs/>
                <w:sz w:val="28"/>
                <w:vertAlign w:val="superscript"/>
              </w:rPr>
            </w:pPr>
            <w:r w:rsidRPr="005A721C">
              <w:rPr>
                <w:i/>
                <w:iCs/>
                <w:sz w:val="28"/>
                <w:vertAlign w:val="superscript"/>
              </w:rPr>
              <w:t>Signature</w:t>
            </w:r>
          </w:p>
        </w:tc>
        <w:tc>
          <w:tcPr>
            <w:tcW w:w="450" w:type="dxa"/>
            <w:gridSpan w:val="3"/>
          </w:tcPr>
          <w:p w14:paraId="2DBD4C48" w14:textId="77777777" w:rsidR="004D47E8" w:rsidRPr="005A721C" w:rsidRDefault="004D47E8" w:rsidP="00EF54F8">
            <w:pPr>
              <w:rPr>
                <w:i/>
                <w:iCs/>
                <w:sz w:val="28"/>
                <w:vertAlign w:val="superscript"/>
              </w:rPr>
            </w:pPr>
          </w:p>
        </w:tc>
        <w:tc>
          <w:tcPr>
            <w:tcW w:w="4590" w:type="dxa"/>
            <w:tcBorders>
              <w:top w:val="single" w:sz="12" w:space="0" w:color="auto"/>
            </w:tcBorders>
          </w:tcPr>
          <w:p w14:paraId="5224326F" w14:textId="77777777" w:rsidR="004D47E8" w:rsidRPr="005A721C" w:rsidRDefault="004D47E8" w:rsidP="00EF54F8">
            <w:pPr>
              <w:rPr>
                <w:i/>
                <w:iCs/>
                <w:sz w:val="28"/>
                <w:vertAlign w:val="superscript"/>
              </w:rPr>
            </w:pPr>
            <w:r w:rsidRPr="005A721C">
              <w:rPr>
                <w:i/>
                <w:iCs/>
                <w:sz w:val="28"/>
                <w:vertAlign w:val="superscript"/>
              </w:rPr>
              <w:t>Signature</w:t>
            </w:r>
          </w:p>
        </w:tc>
      </w:tr>
      <w:tr w:rsidR="004D47E8" w:rsidRPr="005A721C" w14:paraId="132B9C45" w14:textId="77777777" w:rsidTr="00EF54F8">
        <w:trPr>
          <w:trHeight w:val="480"/>
        </w:trPr>
        <w:tc>
          <w:tcPr>
            <w:tcW w:w="4518" w:type="dxa"/>
            <w:tcBorders>
              <w:bottom w:val="single" w:sz="12" w:space="0" w:color="auto"/>
            </w:tcBorders>
            <w:vAlign w:val="bottom"/>
          </w:tcPr>
          <w:p w14:paraId="5A0230E1" w14:textId="77777777" w:rsidR="004D47E8" w:rsidRPr="005A721C" w:rsidRDefault="004D47E8" w:rsidP="00EF54F8">
            <w:pPr>
              <w:pStyle w:val="Normal-Left"/>
              <w:spacing w:before="240" w:after="0"/>
            </w:pPr>
          </w:p>
        </w:tc>
        <w:tc>
          <w:tcPr>
            <w:tcW w:w="450" w:type="dxa"/>
            <w:gridSpan w:val="3"/>
            <w:vAlign w:val="bottom"/>
          </w:tcPr>
          <w:p w14:paraId="2119FEE2" w14:textId="77777777" w:rsidR="004D47E8" w:rsidRPr="005A721C" w:rsidRDefault="004D47E8" w:rsidP="00EF54F8"/>
        </w:tc>
        <w:tc>
          <w:tcPr>
            <w:tcW w:w="4590" w:type="dxa"/>
            <w:tcBorders>
              <w:bottom w:val="single" w:sz="12" w:space="0" w:color="auto"/>
            </w:tcBorders>
            <w:vAlign w:val="bottom"/>
          </w:tcPr>
          <w:p w14:paraId="7D53E117" w14:textId="77777777" w:rsidR="004D47E8" w:rsidRPr="005A721C" w:rsidRDefault="004D47E8" w:rsidP="00EF54F8"/>
          <w:p w14:paraId="15EF2A04" w14:textId="77777777" w:rsidR="004D47E8" w:rsidRPr="005A721C" w:rsidRDefault="004D47E8" w:rsidP="00EF54F8"/>
        </w:tc>
      </w:tr>
      <w:tr w:rsidR="004D47E8" w:rsidRPr="005A721C" w14:paraId="0DFB80B1" w14:textId="77777777" w:rsidTr="00EF54F8">
        <w:tc>
          <w:tcPr>
            <w:tcW w:w="4518" w:type="dxa"/>
            <w:tcBorders>
              <w:top w:val="single" w:sz="12" w:space="0" w:color="auto"/>
            </w:tcBorders>
          </w:tcPr>
          <w:p w14:paraId="0B16BB1E" w14:textId="77777777" w:rsidR="004D47E8" w:rsidRPr="005A721C" w:rsidRDefault="004D47E8" w:rsidP="00EF54F8">
            <w:pPr>
              <w:rPr>
                <w:i/>
                <w:iCs/>
                <w:sz w:val="28"/>
                <w:vertAlign w:val="superscript"/>
              </w:rPr>
            </w:pPr>
            <w:r w:rsidRPr="005A721C">
              <w:rPr>
                <w:i/>
                <w:iCs/>
                <w:sz w:val="28"/>
                <w:vertAlign w:val="superscript"/>
              </w:rPr>
              <w:t>Print or Type Name                                           Date</w:t>
            </w:r>
          </w:p>
        </w:tc>
        <w:tc>
          <w:tcPr>
            <w:tcW w:w="450" w:type="dxa"/>
            <w:gridSpan w:val="3"/>
          </w:tcPr>
          <w:p w14:paraId="02151C48" w14:textId="77777777" w:rsidR="004D47E8" w:rsidRPr="005A721C" w:rsidRDefault="004D47E8" w:rsidP="00EF54F8">
            <w:pPr>
              <w:rPr>
                <w:i/>
                <w:iCs/>
                <w:sz w:val="28"/>
                <w:vertAlign w:val="superscript"/>
              </w:rPr>
            </w:pPr>
          </w:p>
        </w:tc>
        <w:tc>
          <w:tcPr>
            <w:tcW w:w="4590" w:type="dxa"/>
            <w:tcBorders>
              <w:top w:val="single" w:sz="12" w:space="0" w:color="auto"/>
            </w:tcBorders>
          </w:tcPr>
          <w:p w14:paraId="7EEABA56" w14:textId="77777777" w:rsidR="004D47E8" w:rsidRPr="005A721C" w:rsidRDefault="004D47E8" w:rsidP="00EF54F8">
            <w:pPr>
              <w:rPr>
                <w:i/>
                <w:iCs/>
                <w:sz w:val="28"/>
                <w:vertAlign w:val="superscript"/>
              </w:rPr>
            </w:pPr>
            <w:r w:rsidRPr="005A721C">
              <w:rPr>
                <w:i/>
                <w:iCs/>
                <w:sz w:val="28"/>
                <w:vertAlign w:val="superscript"/>
              </w:rPr>
              <w:t>Print or Type Name                                                Date</w:t>
            </w:r>
          </w:p>
        </w:tc>
      </w:tr>
      <w:tr w:rsidR="004D47E8" w:rsidRPr="005A721C" w14:paraId="24E26E72" w14:textId="77777777" w:rsidTr="00EF54F8">
        <w:trPr>
          <w:trHeight w:val="720"/>
        </w:trPr>
        <w:tc>
          <w:tcPr>
            <w:tcW w:w="4518" w:type="dxa"/>
            <w:tcBorders>
              <w:bottom w:val="single" w:sz="12" w:space="0" w:color="auto"/>
            </w:tcBorders>
            <w:vAlign w:val="bottom"/>
          </w:tcPr>
          <w:p w14:paraId="0484ABB2" w14:textId="77777777" w:rsidR="004D47E8" w:rsidRPr="005A721C" w:rsidRDefault="004D47E8" w:rsidP="00EF54F8">
            <w:pPr>
              <w:spacing w:before="240"/>
            </w:pPr>
          </w:p>
        </w:tc>
        <w:tc>
          <w:tcPr>
            <w:tcW w:w="450" w:type="dxa"/>
            <w:gridSpan w:val="3"/>
            <w:vAlign w:val="bottom"/>
          </w:tcPr>
          <w:p w14:paraId="70BB7147" w14:textId="77777777" w:rsidR="004D47E8" w:rsidRPr="005A721C" w:rsidRDefault="004D47E8" w:rsidP="00EF54F8">
            <w:pPr>
              <w:rPr>
                <w:sz w:val="28"/>
                <w:vertAlign w:val="superscript"/>
              </w:rPr>
            </w:pPr>
          </w:p>
        </w:tc>
        <w:tc>
          <w:tcPr>
            <w:tcW w:w="4590" w:type="dxa"/>
            <w:tcBorders>
              <w:bottom w:val="single" w:sz="12" w:space="0" w:color="auto"/>
            </w:tcBorders>
            <w:vAlign w:val="bottom"/>
          </w:tcPr>
          <w:p w14:paraId="61F591AC" w14:textId="77777777" w:rsidR="004D47E8" w:rsidRPr="005A721C" w:rsidRDefault="004D47E8" w:rsidP="00EF54F8">
            <w:pPr>
              <w:rPr>
                <w:iCs/>
              </w:rPr>
            </w:pPr>
          </w:p>
        </w:tc>
      </w:tr>
      <w:tr w:rsidR="004D47E8" w:rsidRPr="005A721C" w14:paraId="57C5AD8E" w14:textId="77777777" w:rsidTr="00EF54F8">
        <w:tc>
          <w:tcPr>
            <w:tcW w:w="4518" w:type="dxa"/>
            <w:tcBorders>
              <w:top w:val="single" w:sz="12" w:space="0" w:color="auto"/>
            </w:tcBorders>
          </w:tcPr>
          <w:p w14:paraId="1DB3C1AA" w14:textId="77777777" w:rsidR="004D47E8" w:rsidRPr="005A721C" w:rsidRDefault="004D47E8" w:rsidP="00EF54F8">
            <w:pPr>
              <w:rPr>
                <w:i/>
                <w:iCs/>
                <w:sz w:val="28"/>
                <w:vertAlign w:val="superscript"/>
              </w:rPr>
            </w:pPr>
            <w:r w:rsidRPr="005A721C">
              <w:rPr>
                <w:i/>
                <w:iCs/>
                <w:sz w:val="28"/>
                <w:vertAlign w:val="superscript"/>
              </w:rPr>
              <w:t>Title</w:t>
            </w:r>
          </w:p>
        </w:tc>
        <w:tc>
          <w:tcPr>
            <w:tcW w:w="450" w:type="dxa"/>
            <w:gridSpan w:val="3"/>
          </w:tcPr>
          <w:p w14:paraId="14195DB8" w14:textId="77777777" w:rsidR="004D47E8" w:rsidRPr="005A721C" w:rsidRDefault="004D47E8" w:rsidP="00EF54F8">
            <w:pPr>
              <w:rPr>
                <w:i/>
                <w:iCs/>
                <w:sz w:val="28"/>
                <w:vertAlign w:val="superscript"/>
              </w:rPr>
            </w:pPr>
          </w:p>
        </w:tc>
        <w:tc>
          <w:tcPr>
            <w:tcW w:w="4590" w:type="dxa"/>
            <w:tcBorders>
              <w:top w:val="single" w:sz="12" w:space="0" w:color="auto"/>
            </w:tcBorders>
          </w:tcPr>
          <w:p w14:paraId="2C2D0FD8" w14:textId="77777777" w:rsidR="004D47E8" w:rsidRPr="005A721C" w:rsidRDefault="004D47E8" w:rsidP="00EF54F8">
            <w:pPr>
              <w:rPr>
                <w:i/>
                <w:iCs/>
                <w:sz w:val="28"/>
                <w:vertAlign w:val="superscript"/>
              </w:rPr>
            </w:pPr>
            <w:r w:rsidRPr="005A721C">
              <w:rPr>
                <w:i/>
                <w:iCs/>
                <w:sz w:val="28"/>
                <w:vertAlign w:val="superscript"/>
              </w:rPr>
              <w:t xml:space="preserve">Title </w:t>
            </w:r>
          </w:p>
        </w:tc>
      </w:tr>
    </w:tbl>
    <w:p w14:paraId="55A0037E" w14:textId="77777777" w:rsidR="004D47E8" w:rsidRPr="00AF6353" w:rsidRDefault="004D47E8" w:rsidP="004D47E8">
      <w:pPr>
        <w:rPr>
          <w:sz w:val="28"/>
        </w:rPr>
      </w:pPr>
      <w:r>
        <w:rPr>
          <w:b/>
          <w:sz w:val="36"/>
          <w:szCs w:val="36"/>
        </w:rPr>
        <w:br w:type="page"/>
      </w:r>
    </w:p>
    <w:p w14:paraId="76B2C99E" w14:textId="77777777" w:rsidR="004D47E8" w:rsidRPr="005A721C" w:rsidRDefault="004D47E8" w:rsidP="004D47E8">
      <w:pPr>
        <w:jc w:val="center"/>
        <w:rPr>
          <w:b/>
          <w:i/>
          <w:sz w:val="32"/>
        </w:rPr>
      </w:pPr>
      <w:r>
        <w:rPr>
          <w:b/>
          <w:i/>
          <w:sz w:val="32"/>
        </w:rPr>
        <w:lastRenderedPageBreak/>
        <w:t xml:space="preserve">Broadband ISP Addendum </w:t>
      </w:r>
      <w:r w:rsidRPr="005A721C">
        <w:rPr>
          <w:b/>
          <w:i/>
          <w:sz w:val="32"/>
        </w:rPr>
        <w:t>Statement of Work Template</w:t>
      </w:r>
    </w:p>
    <w:p w14:paraId="43EDB23A" w14:textId="77777777" w:rsidR="004D47E8" w:rsidRPr="005A721C" w:rsidRDefault="004D47E8" w:rsidP="004D47E8">
      <w:pPr>
        <w:rPr>
          <w:b/>
        </w:rPr>
      </w:pPr>
    </w:p>
    <w:p w14:paraId="10DB306B" w14:textId="77777777" w:rsidR="004D47E8" w:rsidRPr="005A721C" w:rsidRDefault="004D47E8" w:rsidP="004D47E8">
      <w:pPr>
        <w:rPr>
          <w:b/>
        </w:rPr>
      </w:pPr>
    </w:p>
    <w:p w14:paraId="43DD2813" w14:textId="77777777" w:rsidR="004D47E8" w:rsidRPr="005A721C" w:rsidRDefault="004D47E8" w:rsidP="004D47E8">
      <w:pPr>
        <w:rPr>
          <w:b/>
        </w:rPr>
      </w:pPr>
    </w:p>
    <w:p w14:paraId="16574B61" w14:textId="01192F77" w:rsidR="004D47E8" w:rsidRPr="005A721C" w:rsidRDefault="004D47E8" w:rsidP="004D47E8">
      <w:pPr>
        <w:rPr>
          <w:szCs w:val="22"/>
        </w:rPr>
      </w:pPr>
      <w:r w:rsidRPr="005A721C">
        <w:rPr>
          <w:szCs w:val="22"/>
        </w:rPr>
        <w:t>This Statement of Work (</w:t>
      </w:r>
      <w:r w:rsidR="00BB2DF2">
        <w:rPr>
          <w:szCs w:val="22"/>
        </w:rPr>
        <w:t>SOW</w:t>
      </w:r>
      <w:r w:rsidRPr="005A721C">
        <w:rPr>
          <w:szCs w:val="22"/>
        </w:rPr>
        <w:t xml:space="preserve">) </w:t>
      </w:r>
      <w:r w:rsidR="00BB2DF2">
        <w:rPr>
          <w:szCs w:val="22"/>
        </w:rPr>
        <w:t>04-</w:t>
      </w:r>
      <w:r w:rsidR="00C86B06">
        <w:rPr>
          <w:szCs w:val="22"/>
        </w:rPr>
        <w:t>2</w:t>
      </w:r>
      <w:r w:rsidR="00523269">
        <w:rPr>
          <w:szCs w:val="22"/>
        </w:rPr>
        <w:t>5</w:t>
      </w:r>
      <w:r w:rsidR="00BB2DF2">
        <w:rPr>
          <w:szCs w:val="22"/>
        </w:rPr>
        <w:t xml:space="preserve">-XXX </w:t>
      </w:r>
      <w:r w:rsidRPr="005A721C">
        <w:rPr>
          <w:szCs w:val="22"/>
        </w:rPr>
        <w:t xml:space="preserve">is made and entered by and between the State of Washington, </w:t>
      </w:r>
      <w:r w:rsidR="00523269">
        <w:rPr>
          <w:szCs w:val="22"/>
        </w:rPr>
        <w:t>Washington Technology Solutions</w:t>
      </w:r>
      <w:r w:rsidRPr="005A721C">
        <w:rPr>
          <w:szCs w:val="22"/>
        </w:rPr>
        <w:t xml:space="preserve"> (“</w:t>
      </w:r>
      <w:r w:rsidR="00523269">
        <w:rPr>
          <w:szCs w:val="22"/>
        </w:rPr>
        <w:t>WaTech</w:t>
      </w:r>
      <w:r w:rsidRPr="005A721C">
        <w:rPr>
          <w:szCs w:val="22"/>
        </w:rPr>
        <w:t xml:space="preserve">”), and </w:t>
      </w:r>
      <w:proofErr w:type="spellStart"/>
      <w:r w:rsidRPr="005A721C">
        <w:rPr>
          <w:i/>
          <w:szCs w:val="22"/>
        </w:rPr>
        <w:t>xxxxxxxxxx</w:t>
      </w:r>
      <w:proofErr w:type="spellEnd"/>
      <w:r w:rsidRPr="005A721C">
        <w:rPr>
          <w:i/>
          <w:szCs w:val="22"/>
        </w:rPr>
        <w:t xml:space="preserve"> </w:t>
      </w:r>
      <w:proofErr w:type="spellStart"/>
      <w:r w:rsidRPr="005A721C">
        <w:rPr>
          <w:i/>
          <w:szCs w:val="22"/>
        </w:rPr>
        <w:t>xxxxxxxx</w:t>
      </w:r>
      <w:proofErr w:type="spellEnd"/>
      <w:r w:rsidRPr="005A721C">
        <w:rPr>
          <w:szCs w:val="22"/>
        </w:rPr>
        <w:t>(“</w:t>
      </w:r>
      <w:r>
        <w:rPr>
          <w:szCs w:val="22"/>
        </w:rPr>
        <w:t>Contractor</w:t>
      </w:r>
      <w:r w:rsidRPr="005A721C">
        <w:rPr>
          <w:szCs w:val="22"/>
        </w:rPr>
        <w:t>”),</w:t>
      </w:r>
      <w:r>
        <w:rPr>
          <w:szCs w:val="22"/>
        </w:rPr>
        <w:t xml:space="preserve"> collectively referred to as “Parties”</w:t>
      </w:r>
      <w:r w:rsidRPr="005A721C">
        <w:rPr>
          <w:szCs w:val="22"/>
        </w:rPr>
        <w:t xml:space="preserve"> pursuant to Section </w:t>
      </w:r>
      <w:proofErr w:type="spellStart"/>
      <w:r w:rsidRPr="005A721C">
        <w:rPr>
          <w:szCs w:val="22"/>
        </w:rPr>
        <w:t>xxxxxxx</w:t>
      </w:r>
      <w:proofErr w:type="spellEnd"/>
      <w:r w:rsidRPr="005A721C">
        <w:rPr>
          <w:szCs w:val="22"/>
        </w:rPr>
        <w:t xml:space="preserve"> of that certain contract No. </w:t>
      </w:r>
      <w:proofErr w:type="spellStart"/>
      <w:r w:rsidRPr="005A721C">
        <w:rPr>
          <w:szCs w:val="22"/>
        </w:rPr>
        <w:t>xxxxxxxxxxxx</w:t>
      </w:r>
      <w:proofErr w:type="spellEnd"/>
      <w:r w:rsidRPr="005A721C">
        <w:rPr>
          <w:szCs w:val="22"/>
        </w:rPr>
        <w:t xml:space="preserve"> for </w:t>
      </w:r>
      <w:r>
        <w:rPr>
          <w:szCs w:val="22"/>
        </w:rPr>
        <w:t xml:space="preserve">Broadband ISP </w:t>
      </w:r>
      <w:r w:rsidRPr="005A721C">
        <w:rPr>
          <w:szCs w:val="22"/>
        </w:rPr>
        <w:t>Services.</w:t>
      </w:r>
    </w:p>
    <w:p w14:paraId="2DF37FFD" w14:textId="77777777" w:rsidR="004D47E8" w:rsidRPr="005A721C" w:rsidRDefault="004D47E8" w:rsidP="004D47E8"/>
    <w:p w14:paraId="7181C5C7" w14:textId="77777777" w:rsidR="004D47E8" w:rsidRPr="005A721C" w:rsidRDefault="004D47E8" w:rsidP="004D47E8">
      <w:pPr>
        <w:pStyle w:val="BodyText"/>
        <w:jc w:val="center"/>
        <w:rPr>
          <w:b/>
          <w:sz w:val="24"/>
        </w:rPr>
      </w:pPr>
      <w:r w:rsidRPr="005A721C">
        <w:rPr>
          <w:b/>
          <w:sz w:val="24"/>
          <w:u w:val="single"/>
        </w:rPr>
        <w:t>Recitals</w:t>
      </w:r>
    </w:p>
    <w:p w14:paraId="1A8D5E54" w14:textId="3A66ECC6" w:rsidR="004D47E8" w:rsidRPr="005A721C" w:rsidRDefault="004D47E8" w:rsidP="004D47E8">
      <w:pPr>
        <w:pStyle w:val="BodyText"/>
        <w:rPr>
          <w:szCs w:val="22"/>
        </w:rPr>
      </w:pPr>
      <w:r w:rsidRPr="005A721C">
        <w:rPr>
          <w:szCs w:val="22"/>
        </w:rPr>
        <w:t xml:space="preserve">NOW THEREFORE, for valuable consideration, the receipt and sufficiency of which is hereby acknowledged by the </w:t>
      </w:r>
      <w:r>
        <w:rPr>
          <w:szCs w:val="22"/>
        </w:rPr>
        <w:t>P</w:t>
      </w:r>
      <w:r w:rsidRPr="005A721C">
        <w:rPr>
          <w:szCs w:val="22"/>
        </w:rPr>
        <w:t xml:space="preserve">arties, the </w:t>
      </w:r>
      <w:r>
        <w:rPr>
          <w:szCs w:val="22"/>
        </w:rPr>
        <w:t>P</w:t>
      </w:r>
      <w:r w:rsidRPr="005A721C">
        <w:rPr>
          <w:szCs w:val="22"/>
        </w:rPr>
        <w:t>arties hereby agree as follows</w:t>
      </w:r>
      <w:r w:rsidRPr="00C87979">
        <w:rPr>
          <w:szCs w:val="22"/>
        </w:rPr>
        <w:t>.</w:t>
      </w:r>
      <w:r w:rsidRPr="005A721C">
        <w:rPr>
          <w:szCs w:val="22"/>
        </w:rPr>
        <w:t xml:space="preserve">  Unless otherwise defined, capitalized terms in this Amendment have the meanings ascribed to them in the Contract.</w:t>
      </w:r>
      <w:r w:rsidRPr="005A721C">
        <w:t xml:space="preserve"> </w:t>
      </w:r>
      <w:r w:rsidRPr="005A721C">
        <w:rPr>
          <w:szCs w:val="22"/>
        </w:rPr>
        <w:t xml:space="preserve">The terms and conditions of the </w:t>
      </w:r>
      <w:r w:rsidR="00710B56">
        <w:rPr>
          <w:szCs w:val="22"/>
        </w:rPr>
        <w:t>Network</w:t>
      </w:r>
      <w:r w:rsidRPr="005A721C">
        <w:rPr>
          <w:szCs w:val="22"/>
        </w:rPr>
        <w:t xml:space="preserve"> Services Agreement</w:t>
      </w:r>
      <w:r>
        <w:rPr>
          <w:szCs w:val="22"/>
        </w:rPr>
        <w:t>, and Broadband ISP Addendum</w:t>
      </w:r>
      <w:r w:rsidRPr="005A721C">
        <w:rPr>
          <w:szCs w:val="22"/>
        </w:rPr>
        <w:t xml:space="preserve"> are hereby restated and incorporated by reference in their entirety.</w:t>
      </w:r>
    </w:p>
    <w:p w14:paraId="3C6879E2" w14:textId="77777777" w:rsidR="004D47E8" w:rsidRPr="005A721C" w:rsidRDefault="004D47E8" w:rsidP="004D47E8"/>
    <w:p w14:paraId="0F18A3E1" w14:textId="77777777" w:rsidR="004D47E8" w:rsidRPr="005A721C" w:rsidRDefault="004D47E8" w:rsidP="004D47E8">
      <w:pPr>
        <w:numPr>
          <w:ilvl w:val="0"/>
          <w:numId w:val="1"/>
        </w:numPr>
        <w:spacing w:after="144"/>
        <w:rPr>
          <w:b/>
          <w:spacing w:val="-2"/>
        </w:rPr>
      </w:pPr>
      <w:r w:rsidRPr="005A721C">
        <w:rPr>
          <w:b/>
          <w:spacing w:val="-2"/>
        </w:rPr>
        <w:t>Term:</w:t>
      </w:r>
    </w:p>
    <w:p w14:paraId="3F539ADF" w14:textId="5E83FDDB" w:rsidR="004D47E8" w:rsidRPr="005A721C" w:rsidRDefault="004D47E8" w:rsidP="0083141E">
      <w:pPr>
        <w:pStyle w:val="BlockText"/>
        <w:ind w:left="360" w:right="0"/>
        <w:rPr>
          <w:i w:val="0"/>
          <w:color w:val="auto"/>
          <w:sz w:val="22"/>
          <w:szCs w:val="22"/>
        </w:rPr>
      </w:pPr>
      <w:r w:rsidRPr="005A721C">
        <w:rPr>
          <w:i w:val="0"/>
          <w:color w:val="auto"/>
          <w:sz w:val="22"/>
          <w:szCs w:val="22"/>
        </w:rPr>
        <w:t xml:space="preserve">The Service Term shall be </w:t>
      </w:r>
      <w:proofErr w:type="gramStart"/>
      <w:r w:rsidR="005E399A" w:rsidRPr="005E399A">
        <w:rPr>
          <w:i w:val="0"/>
          <w:color w:val="auto"/>
          <w:sz w:val="22"/>
          <w:szCs w:val="22"/>
        </w:rPr>
        <w:t>thirty six</w:t>
      </w:r>
      <w:proofErr w:type="gramEnd"/>
      <w:r w:rsidR="005E399A" w:rsidRPr="005E399A">
        <w:rPr>
          <w:i w:val="0"/>
          <w:color w:val="auto"/>
          <w:sz w:val="22"/>
          <w:szCs w:val="22"/>
        </w:rPr>
        <w:t xml:space="preserve"> (36) months</w:t>
      </w:r>
      <w:r>
        <w:rPr>
          <w:i w:val="0"/>
          <w:color w:val="auto"/>
          <w:sz w:val="22"/>
          <w:szCs w:val="22"/>
        </w:rPr>
        <w:t>, commencing upon the date of the Service Acceptance</w:t>
      </w:r>
      <w:r w:rsidRPr="005A721C">
        <w:rPr>
          <w:i w:val="0"/>
          <w:color w:val="auto"/>
          <w:sz w:val="22"/>
          <w:szCs w:val="22"/>
        </w:rPr>
        <w:t>.</w:t>
      </w:r>
      <w:r w:rsidRPr="00873EB1">
        <w:rPr>
          <w:i w:val="0"/>
          <w:color w:val="auto"/>
          <w:sz w:val="22"/>
          <w:szCs w:val="22"/>
        </w:rPr>
        <w:t xml:space="preserve"> </w:t>
      </w:r>
      <w:r w:rsidRPr="00294A2E">
        <w:rPr>
          <w:i w:val="0"/>
          <w:sz w:val="22"/>
          <w:szCs w:val="22"/>
        </w:rPr>
        <w:t>(</w:t>
      </w:r>
      <w:proofErr w:type="gramStart"/>
      <w:r w:rsidRPr="00294A2E">
        <w:rPr>
          <w:i w:val="0"/>
          <w:sz w:val="22"/>
          <w:szCs w:val="22"/>
        </w:rPr>
        <w:t>delete</w:t>
      </w:r>
      <w:proofErr w:type="gramEnd"/>
      <w:r w:rsidRPr="00294A2E">
        <w:rPr>
          <w:i w:val="0"/>
          <w:sz w:val="22"/>
          <w:szCs w:val="22"/>
        </w:rPr>
        <w:t xml:space="preserve"> and replace with the shorter term if stated on the </w:t>
      </w:r>
      <w:r w:rsidR="00523269">
        <w:rPr>
          <w:i w:val="0"/>
          <w:sz w:val="22"/>
          <w:szCs w:val="22"/>
        </w:rPr>
        <w:t>WaTech</w:t>
      </w:r>
      <w:r w:rsidRPr="00294A2E">
        <w:rPr>
          <w:i w:val="0"/>
          <w:sz w:val="22"/>
          <w:szCs w:val="22"/>
        </w:rPr>
        <w:t xml:space="preserve"> Procurement Document document.)</w:t>
      </w:r>
    </w:p>
    <w:p w14:paraId="05693655" w14:textId="77777777" w:rsidR="004D47E8" w:rsidRPr="005A721C" w:rsidRDefault="004D47E8" w:rsidP="004D47E8">
      <w:pPr>
        <w:pStyle w:val="BlockText"/>
        <w:ind w:right="0"/>
        <w:rPr>
          <w:i w:val="0"/>
          <w:color w:val="auto"/>
          <w:sz w:val="22"/>
          <w:szCs w:val="22"/>
        </w:rPr>
      </w:pPr>
    </w:p>
    <w:p w14:paraId="3055FBC6" w14:textId="29181C23" w:rsidR="004D47E8" w:rsidRPr="005A721C" w:rsidRDefault="004D47E8" w:rsidP="0083141E">
      <w:pPr>
        <w:pStyle w:val="BlockText"/>
        <w:ind w:left="360" w:right="0"/>
        <w:rPr>
          <w:i w:val="0"/>
          <w:color w:val="auto"/>
          <w:sz w:val="22"/>
          <w:szCs w:val="22"/>
        </w:rPr>
      </w:pPr>
      <w:r w:rsidRPr="005A721C">
        <w:rPr>
          <w:i w:val="0"/>
          <w:color w:val="auto"/>
          <w:sz w:val="22"/>
          <w:szCs w:val="22"/>
        </w:rPr>
        <w:t xml:space="preserve">For any </w:t>
      </w:r>
      <w:proofErr w:type="gramStart"/>
      <w:r w:rsidRPr="005A721C">
        <w:rPr>
          <w:i w:val="0"/>
          <w:color w:val="auto"/>
          <w:sz w:val="22"/>
          <w:szCs w:val="22"/>
        </w:rPr>
        <w:t>period</w:t>
      </w:r>
      <w:proofErr w:type="gramEnd"/>
      <w:r w:rsidRPr="005A721C">
        <w:rPr>
          <w:i w:val="0"/>
          <w:color w:val="auto"/>
          <w:sz w:val="22"/>
          <w:szCs w:val="22"/>
        </w:rPr>
        <w:t xml:space="preserve"> shorter than </w:t>
      </w:r>
      <w:r w:rsidR="005E399A" w:rsidRPr="005E399A">
        <w:rPr>
          <w:i w:val="0"/>
          <w:color w:val="auto"/>
          <w:sz w:val="22"/>
          <w:szCs w:val="22"/>
        </w:rPr>
        <w:t>thirty six (36) months</w:t>
      </w:r>
      <w:r w:rsidRPr="005A721C">
        <w:rPr>
          <w:i w:val="0"/>
          <w:color w:val="auto"/>
          <w:sz w:val="22"/>
          <w:szCs w:val="22"/>
        </w:rPr>
        <w:t xml:space="preserve">, </w:t>
      </w:r>
      <w:r w:rsidR="00523269">
        <w:rPr>
          <w:i w:val="0"/>
          <w:color w:val="auto"/>
          <w:sz w:val="22"/>
          <w:szCs w:val="22"/>
        </w:rPr>
        <w:t>WaTech</w:t>
      </w:r>
      <w:r w:rsidRPr="005A721C">
        <w:rPr>
          <w:i w:val="0"/>
          <w:color w:val="auto"/>
          <w:sz w:val="22"/>
          <w:szCs w:val="22"/>
        </w:rPr>
        <w:t xml:space="preserve"> will specify a superseding period in the </w:t>
      </w:r>
      <w:r w:rsidR="00523269">
        <w:rPr>
          <w:i w:val="0"/>
          <w:color w:val="auto"/>
          <w:sz w:val="22"/>
          <w:szCs w:val="22"/>
        </w:rPr>
        <w:t>WaTech</w:t>
      </w:r>
      <w:r>
        <w:rPr>
          <w:i w:val="0"/>
          <w:color w:val="auto"/>
          <w:sz w:val="22"/>
          <w:szCs w:val="22"/>
        </w:rPr>
        <w:t xml:space="preserve"> Procurement Document</w:t>
      </w:r>
      <w:r w:rsidRPr="005A721C">
        <w:rPr>
          <w:i w:val="0"/>
          <w:color w:val="auto"/>
          <w:sz w:val="22"/>
          <w:szCs w:val="22"/>
        </w:rPr>
        <w:t xml:space="preserve"> </w:t>
      </w:r>
      <w:r w:rsidRPr="0083141E">
        <w:rPr>
          <w:i w:val="0"/>
          <w:color w:val="auto"/>
          <w:sz w:val="22"/>
          <w:szCs w:val="22"/>
        </w:rPr>
        <w:t xml:space="preserve">(example is </w:t>
      </w:r>
      <w:r w:rsidR="009D0582">
        <w:rPr>
          <w:i w:val="0"/>
          <w:color w:val="auto"/>
          <w:sz w:val="22"/>
          <w:szCs w:val="22"/>
        </w:rPr>
        <w:t>six</w:t>
      </w:r>
      <w:r w:rsidRPr="0083141E">
        <w:rPr>
          <w:i w:val="0"/>
          <w:color w:val="auto"/>
          <w:sz w:val="22"/>
          <w:szCs w:val="22"/>
        </w:rPr>
        <w:t xml:space="preserve"> [</w:t>
      </w:r>
      <w:r w:rsidR="009D0582">
        <w:rPr>
          <w:i w:val="0"/>
          <w:color w:val="auto"/>
          <w:sz w:val="22"/>
          <w:szCs w:val="22"/>
        </w:rPr>
        <w:t>6</w:t>
      </w:r>
      <w:r w:rsidRPr="0083141E">
        <w:rPr>
          <w:i w:val="0"/>
          <w:color w:val="auto"/>
          <w:sz w:val="22"/>
          <w:szCs w:val="22"/>
        </w:rPr>
        <w:t>] months)</w:t>
      </w:r>
      <w:r w:rsidR="00D0124A">
        <w:rPr>
          <w:i w:val="0"/>
          <w:color w:val="auto"/>
          <w:sz w:val="22"/>
          <w:szCs w:val="22"/>
        </w:rPr>
        <w:t>.</w:t>
      </w:r>
    </w:p>
    <w:p w14:paraId="6DA8AACD" w14:textId="77777777" w:rsidR="004D47E8" w:rsidRPr="005A721C" w:rsidRDefault="004D47E8" w:rsidP="0083141E">
      <w:pPr>
        <w:pStyle w:val="BlockText"/>
        <w:ind w:left="360" w:right="0"/>
        <w:rPr>
          <w:i w:val="0"/>
          <w:color w:val="auto"/>
          <w:sz w:val="22"/>
          <w:szCs w:val="22"/>
        </w:rPr>
      </w:pPr>
    </w:p>
    <w:p w14:paraId="7AAD6C6F" w14:textId="140FD692" w:rsidR="004D47E8" w:rsidRDefault="004D47E8" w:rsidP="0083141E">
      <w:pPr>
        <w:pStyle w:val="BlockText"/>
        <w:ind w:left="360" w:right="0"/>
        <w:rPr>
          <w:i w:val="0"/>
          <w:color w:val="auto"/>
          <w:sz w:val="22"/>
          <w:szCs w:val="22"/>
        </w:rPr>
      </w:pPr>
      <w:r w:rsidRPr="005A721C">
        <w:rPr>
          <w:i w:val="0"/>
          <w:color w:val="auto"/>
          <w:sz w:val="22"/>
          <w:szCs w:val="22"/>
        </w:rPr>
        <w:t xml:space="preserve">This SOW shall be effective as of the date executed by </w:t>
      </w:r>
      <w:r w:rsidR="00523269">
        <w:rPr>
          <w:i w:val="0"/>
          <w:color w:val="auto"/>
          <w:sz w:val="22"/>
          <w:szCs w:val="22"/>
        </w:rPr>
        <w:t>WaTech</w:t>
      </w:r>
      <w:r w:rsidRPr="005A721C">
        <w:rPr>
          <w:i w:val="0"/>
          <w:color w:val="auto"/>
          <w:sz w:val="22"/>
          <w:szCs w:val="22"/>
        </w:rPr>
        <w:t xml:space="preserve"> (the “Effective Date”) and continue in full force and effect for the duration of the Service Term</w:t>
      </w:r>
      <w:r>
        <w:rPr>
          <w:i w:val="0"/>
          <w:color w:val="auto"/>
          <w:sz w:val="22"/>
          <w:szCs w:val="22"/>
        </w:rPr>
        <w:t xml:space="preserve"> measured from the Service Acceptance for each site covered by this SOW</w:t>
      </w:r>
      <w:r w:rsidRPr="005A721C">
        <w:rPr>
          <w:i w:val="0"/>
          <w:color w:val="auto"/>
          <w:sz w:val="22"/>
          <w:szCs w:val="22"/>
        </w:rPr>
        <w:t>.</w:t>
      </w:r>
    </w:p>
    <w:p w14:paraId="6A25E92A" w14:textId="77777777" w:rsidR="004D47E8" w:rsidRPr="00873EB1" w:rsidRDefault="004D47E8" w:rsidP="004D47E8">
      <w:pPr>
        <w:pStyle w:val="BlockText"/>
        <w:ind w:right="0"/>
        <w:rPr>
          <w:i w:val="0"/>
          <w:color w:val="auto"/>
          <w:sz w:val="22"/>
          <w:szCs w:val="22"/>
        </w:rPr>
      </w:pPr>
    </w:p>
    <w:p w14:paraId="4B6EE06D" w14:textId="77777777" w:rsidR="004D47E8" w:rsidRPr="005A721C" w:rsidRDefault="004D47E8" w:rsidP="004D47E8">
      <w:pPr>
        <w:numPr>
          <w:ilvl w:val="0"/>
          <w:numId w:val="1"/>
        </w:numPr>
        <w:spacing w:after="144"/>
        <w:rPr>
          <w:b/>
          <w:spacing w:val="-2"/>
        </w:rPr>
      </w:pPr>
      <w:r w:rsidRPr="005A721C">
        <w:rPr>
          <w:b/>
          <w:spacing w:val="-2"/>
        </w:rPr>
        <w:t>Service Delivery Locations.</w:t>
      </w:r>
    </w:p>
    <w:p w14:paraId="77A48C36" w14:textId="77777777" w:rsidR="004D47E8" w:rsidRPr="005A721C" w:rsidRDefault="004D47E8" w:rsidP="0083141E">
      <w:pPr>
        <w:pStyle w:val="BlockText"/>
        <w:ind w:left="360" w:right="0"/>
        <w:rPr>
          <w:i w:val="0"/>
          <w:color w:val="auto"/>
          <w:sz w:val="22"/>
          <w:szCs w:val="22"/>
        </w:rPr>
      </w:pPr>
      <w:proofErr w:type="gramStart"/>
      <w:r>
        <w:rPr>
          <w:i w:val="0"/>
          <w:color w:val="auto"/>
          <w:sz w:val="22"/>
          <w:szCs w:val="22"/>
        </w:rPr>
        <w:t>Contractor</w:t>
      </w:r>
      <w:proofErr w:type="gramEnd"/>
      <w:r w:rsidRPr="005A721C">
        <w:rPr>
          <w:i w:val="0"/>
          <w:color w:val="auto"/>
          <w:sz w:val="22"/>
          <w:szCs w:val="22"/>
        </w:rPr>
        <w:t xml:space="preserve"> agrees to provide, </w:t>
      </w:r>
      <w:proofErr w:type="gramStart"/>
      <w:r w:rsidRPr="005A721C">
        <w:rPr>
          <w:i w:val="0"/>
          <w:color w:val="auto"/>
          <w:sz w:val="22"/>
          <w:szCs w:val="22"/>
        </w:rPr>
        <w:t>at all times</w:t>
      </w:r>
      <w:proofErr w:type="gramEnd"/>
      <w:r w:rsidRPr="005A721C">
        <w:rPr>
          <w:i w:val="0"/>
          <w:color w:val="auto"/>
          <w:sz w:val="22"/>
          <w:szCs w:val="22"/>
        </w:rPr>
        <w:t xml:space="preserve"> during the Term of this SOW, </w:t>
      </w:r>
      <w:r>
        <w:rPr>
          <w:i w:val="0"/>
          <w:color w:val="auto"/>
          <w:sz w:val="22"/>
          <w:szCs w:val="22"/>
        </w:rPr>
        <w:t>Broadband ISP</w:t>
      </w:r>
      <w:r w:rsidRPr="005A721C">
        <w:rPr>
          <w:i w:val="0"/>
          <w:color w:val="auto"/>
          <w:sz w:val="22"/>
          <w:szCs w:val="22"/>
        </w:rPr>
        <w:t xml:space="preserve"> Services at the throughput, price, and between the endpoints specified in Exhibit 1</w:t>
      </w:r>
      <w:r>
        <w:rPr>
          <w:i w:val="0"/>
          <w:color w:val="auto"/>
          <w:sz w:val="22"/>
          <w:szCs w:val="22"/>
        </w:rPr>
        <w:t xml:space="preserve"> unless otherwise agreed upon by the Parties in an amendment to this SOW</w:t>
      </w:r>
      <w:r w:rsidRPr="005A721C">
        <w:rPr>
          <w:i w:val="0"/>
          <w:color w:val="auto"/>
          <w:sz w:val="22"/>
          <w:szCs w:val="22"/>
        </w:rPr>
        <w:t xml:space="preserve">. </w:t>
      </w:r>
    </w:p>
    <w:p w14:paraId="7EA3F2EB" w14:textId="77777777" w:rsidR="004D47E8" w:rsidRPr="0083141E" w:rsidRDefault="004D47E8" w:rsidP="004D47E8">
      <w:pPr>
        <w:pStyle w:val="BlockText"/>
        <w:rPr>
          <w:i w:val="0"/>
          <w:color w:val="auto"/>
          <w:sz w:val="22"/>
          <w:szCs w:val="22"/>
        </w:rPr>
      </w:pPr>
    </w:p>
    <w:p w14:paraId="72AB1296" w14:textId="77777777" w:rsidR="004D47E8" w:rsidRDefault="004D47E8" w:rsidP="004D47E8">
      <w:pPr>
        <w:numPr>
          <w:ilvl w:val="0"/>
          <w:numId w:val="1"/>
        </w:numPr>
        <w:spacing w:after="144"/>
        <w:rPr>
          <w:b/>
          <w:spacing w:val="-2"/>
        </w:rPr>
      </w:pPr>
      <w:r w:rsidRPr="005A721C">
        <w:rPr>
          <w:b/>
          <w:spacing w:val="-2"/>
        </w:rPr>
        <w:t>Special Terms:</w:t>
      </w:r>
    </w:p>
    <w:p w14:paraId="27F4F004" w14:textId="77777777" w:rsidR="004D47E8" w:rsidRPr="00F51E35" w:rsidRDefault="004D47E8" w:rsidP="004D47E8">
      <w:pPr>
        <w:numPr>
          <w:ilvl w:val="1"/>
          <w:numId w:val="1"/>
        </w:numPr>
        <w:spacing w:after="144"/>
        <w:rPr>
          <w:spacing w:val="-2"/>
        </w:rPr>
      </w:pPr>
      <w:r w:rsidRPr="00F51E35">
        <w:rPr>
          <w:spacing w:val="-2"/>
        </w:rPr>
        <w:t xml:space="preserve">(Special Instructions from the RFP, Special Handoff – if requested, </w:t>
      </w:r>
      <w:r>
        <w:rPr>
          <w:spacing w:val="-2"/>
        </w:rPr>
        <w:t>b</w:t>
      </w:r>
      <w:r w:rsidRPr="00F51E35">
        <w:rPr>
          <w:spacing w:val="-2"/>
        </w:rPr>
        <w:t xml:space="preserve">ackground </w:t>
      </w:r>
      <w:r>
        <w:rPr>
          <w:spacing w:val="-2"/>
        </w:rPr>
        <w:t>c</w:t>
      </w:r>
      <w:r w:rsidRPr="00F51E35">
        <w:rPr>
          <w:spacing w:val="-2"/>
        </w:rPr>
        <w:t>heck if required</w:t>
      </w:r>
      <w:r>
        <w:rPr>
          <w:spacing w:val="-2"/>
        </w:rPr>
        <w:t>, etc.)</w:t>
      </w:r>
    </w:p>
    <w:p w14:paraId="7AA8961A" w14:textId="77777777" w:rsidR="004D47E8" w:rsidRPr="005A721C" w:rsidRDefault="004D47E8" w:rsidP="004D47E8">
      <w:pPr>
        <w:numPr>
          <w:ilvl w:val="0"/>
          <w:numId w:val="1"/>
        </w:numPr>
        <w:spacing w:after="144"/>
        <w:rPr>
          <w:b/>
          <w:spacing w:val="-2"/>
        </w:rPr>
      </w:pPr>
      <w:r>
        <w:rPr>
          <w:b/>
          <w:spacing w:val="-2"/>
        </w:rPr>
        <w:t>Contractor</w:t>
      </w:r>
      <w:r w:rsidRPr="005A721C">
        <w:rPr>
          <w:b/>
          <w:spacing w:val="-2"/>
        </w:rPr>
        <w:t xml:space="preserve">’s Response. </w:t>
      </w:r>
    </w:p>
    <w:p w14:paraId="30935CAE" w14:textId="5C63E6DF" w:rsidR="004D47E8" w:rsidRPr="005A721C" w:rsidRDefault="004D47E8" w:rsidP="004D47E8">
      <w:pPr>
        <w:pStyle w:val="ListParagraph"/>
        <w:numPr>
          <w:ilvl w:val="1"/>
          <w:numId w:val="1"/>
        </w:numPr>
        <w:spacing w:after="144"/>
        <w:rPr>
          <w:b/>
          <w:spacing w:val="-2"/>
        </w:rPr>
      </w:pPr>
      <w:r w:rsidRPr="005A721C">
        <w:rPr>
          <w:szCs w:val="22"/>
        </w:rPr>
        <w:t>A copy of</w:t>
      </w:r>
      <w:r w:rsidRPr="00294A2E">
        <w:rPr>
          <w:color w:val="FF0000"/>
          <w:szCs w:val="22"/>
        </w:rPr>
        <w:t xml:space="preserve"> </w:t>
      </w:r>
      <w:proofErr w:type="spellStart"/>
      <w:r w:rsidRPr="00294A2E">
        <w:rPr>
          <w:color w:val="FF0000"/>
          <w:szCs w:val="22"/>
        </w:rPr>
        <w:t>Xxxxx’s</w:t>
      </w:r>
      <w:proofErr w:type="spellEnd"/>
      <w:r w:rsidRPr="005A721C">
        <w:rPr>
          <w:szCs w:val="22"/>
        </w:rPr>
        <w:t xml:space="preserve"> response to the </w:t>
      </w:r>
      <w:r w:rsidR="00523269">
        <w:rPr>
          <w:szCs w:val="22"/>
        </w:rPr>
        <w:t>WaTech’s</w:t>
      </w:r>
      <w:r w:rsidRPr="005A721C">
        <w:rPr>
          <w:szCs w:val="22"/>
        </w:rPr>
        <w:t xml:space="preserve"> Procurement resulting in this award is attached as Exhibit 2 as is incorporated by reference as if fully set forth herein. </w:t>
      </w:r>
    </w:p>
    <w:p w14:paraId="20575528" w14:textId="77777777" w:rsidR="004D47E8" w:rsidRPr="005A721C" w:rsidRDefault="004D47E8" w:rsidP="004D47E8">
      <w:pPr>
        <w:pStyle w:val="ListParagraph"/>
        <w:numPr>
          <w:ilvl w:val="1"/>
          <w:numId w:val="1"/>
        </w:numPr>
        <w:spacing w:after="144"/>
        <w:rPr>
          <w:b/>
          <w:spacing w:val="-2"/>
        </w:rPr>
      </w:pPr>
      <w:r w:rsidRPr="005A721C">
        <w:rPr>
          <w:szCs w:val="22"/>
        </w:rPr>
        <w:t xml:space="preserve">In the event the </w:t>
      </w:r>
      <w:r>
        <w:rPr>
          <w:szCs w:val="22"/>
        </w:rPr>
        <w:t>P</w:t>
      </w:r>
      <w:r w:rsidRPr="005A721C">
        <w:rPr>
          <w:szCs w:val="22"/>
        </w:rPr>
        <w:t xml:space="preserve">arties need to exercise any options available on the procurement but not accepted in this SOW, the </w:t>
      </w:r>
      <w:r>
        <w:rPr>
          <w:szCs w:val="22"/>
        </w:rPr>
        <w:t>P</w:t>
      </w:r>
      <w:r w:rsidRPr="005A721C">
        <w:rPr>
          <w:szCs w:val="22"/>
        </w:rPr>
        <w:t xml:space="preserve">arties will execute an amendment reflecting the exercise of said options. </w:t>
      </w:r>
    </w:p>
    <w:p w14:paraId="516AA01E" w14:textId="77777777" w:rsidR="004D47E8" w:rsidRPr="005A721C" w:rsidRDefault="004D47E8" w:rsidP="004D47E8">
      <w:pPr>
        <w:pStyle w:val="ListParagraph"/>
        <w:numPr>
          <w:ilvl w:val="1"/>
          <w:numId w:val="1"/>
        </w:numPr>
        <w:spacing w:after="144"/>
        <w:rPr>
          <w:b/>
          <w:spacing w:val="-2"/>
        </w:rPr>
      </w:pPr>
      <w:r w:rsidRPr="005A721C">
        <w:rPr>
          <w:szCs w:val="22"/>
        </w:rPr>
        <w:t xml:space="preserve">In the event of a conflict between the Response and this SOW, the SOW prevails. </w:t>
      </w:r>
    </w:p>
    <w:p w14:paraId="028D8EC5" w14:textId="77777777" w:rsidR="004D47E8" w:rsidRPr="005A721C" w:rsidRDefault="004D47E8" w:rsidP="004D47E8">
      <w:pPr>
        <w:ind w:right="360"/>
      </w:pPr>
    </w:p>
    <w:p w14:paraId="0BAAD650" w14:textId="77777777" w:rsidR="004D47E8" w:rsidRPr="005A721C" w:rsidRDefault="004D47E8" w:rsidP="004D47E8">
      <w:pPr>
        <w:keepNext/>
        <w:spacing w:after="120"/>
        <w:ind w:right="-360"/>
      </w:pPr>
      <w:r w:rsidRPr="005A721C">
        <w:rPr>
          <w:b/>
          <w:i/>
        </w:rPr>
        <w:lastRenderedPageBreak/>
        <w:t>In Witness Whereof</w:t>
      </w:r>
      <w:r w:rsidRPr="005A721C">
        <w:t xml:space="preserve">, the </w:t>
      </w:r>
      <w:r>
        <w:t>P</w:t>
      </w:r>
      <w:r w:rsidRPr="005A721C">
        <w:t xml:space="preserve">arties hereto, having read this Statement of Work to Contract Number </w:t>
      </w:r>
      <w:proofErr w:type="spellStart"/>
      <w:r w:rsidRPr="00294A2E">
        <w:rPr>
          <w:i/>
          <w:color w:val="FF0000"/>
        </w:rPr>
        <w:t>xxxxxxxxxxxxxxxxxx</w:t>
      </w:r>
      <w:proofErr w:type="spellEnd"/>
      <w:r w:rsidRPr="005A721C">
        <w:rPr>
          <w:i/>
        </w:rPr>
        <w:t xml:space="preserve"> </w:t>
      </w:r>
      <w:r w:rsidRPr="005A721C">
        <w:t xml:space="preserve">in its entirety, do agree thereto in </w:t>
      </w:r>
      <w:proofErr w:type="gramStart"/>
      <w:r w:rsidRPr="005A721C">
        <w:t>each and every</w:t>
      </w:r>
      <w:proofErr w:type="gramEnd"/>
      <w:r w:rsidRPr="005A721C">
        <w:t xml:space="preserve"> particular.</w:t>
      </w:r>
    </w:p>
    <w:tbl>
      <w:tblPr>
        <w:tblW w:w="0" w:type="auto"/>
        <w:tblLayout w:type="fixed"/>
        <w:tblLook w:val="0000" w:firstRow="0" w:lastRow="0" w:firstColumn="0" w:lastColumn="0" w:noHBand="0" w:noVBand="0"/>
      </w:tblPr>
      <w:tblGrid>
        <w:gridCol w:w="450"/>
        <w:gridCol w:w="4068"/>
        <w:gridCol w:w="450"/>
        <w:gridCol w:w="72"/>
        <w:gridCol w:w="4518"/>
      </w:tblGrid>
      <w:tr w:rsidR="004D47E8" w:rsidRPr="00B906EB" w14:paraId="71C7249F" w14:textId="77777777" w:rsidTr="00EF54F8">
        <w:tc>
          <w:tcPr>
            <w:tcW w:w="4518" w:type="dxa"/>
            <w:gridSpan w:val="2"/>
          </w:tcPr>
          <w:p w14:paraId="33EC7E20" w14:textId="77777777" w:rsidR="004D47E8" w:rsidRPr="00B906EB" w:rsidRDefault="004D47E8" w:rsidP="00EF54F8">
            <w:pPr>
              <w:rPr>
                <w:b/>
              </w:rPr>
            </w:pPr>
          </w:p>
          <w:p w14:paraId="12AF71E7" w14:textId="77777777" w:rsidR="004D47E8" w:rsidRPr="00B906EB" w:rsidRDefault="004D47E8" w:rsidP="00EF54F8">
            <w:pPr>
              <w:rPr>
                <w:b/>
              </w:rPr>
            </w:pPr>
          </w:p>
          <w:p w14:paraId="6FB15ECE" w14:textId="77777777" w:rsidR="004D47E8" w:rsidRPr="00B906EB" w:rsidRDefault="004D47E8" w:rsidP="00EF54F8">
            <w:pPr>
              <w:rPr>
                <w:b/>
                <w:i/>
              </w:rPr>
            </w:pPr>
            <w:r w:rsidRPr="00B906EB">
              <w:rPr>
                <w:b/>
              </w:rPr>
              <w:t>Approved</w:t>
            </w:r>
          </w:p>
        </w:tc>
        <w:tc>
          <w:tcPr>
            <w:tcW w:w="450" w:type="dxa"/>
          </w:tcPr>
          <w:p w14:paraId="028EE9A8" w14:textId="77777777" w:rsidR="004D47E8" w:rsidRPr="00B906EB" w:rsidRDefault="004D47E8" w:rsidP="00EF54F8">
            <w:pPr>
              <w:rPr>
                <w:b/>
                <w:i/>
              </w:rPr>
            </w:pPr>
          </w:p>
        </w:tc>
        <w:tc>
          <w:tcPr>
            <w:tcW w:w="4590" w:type="dxa"/>
            <w:gridSpan w:val="2"/>
          </w:tcPr>
          <w:p w14:paraId="3FA6819C" w14:textId="77777777" w:rsidR="004D47E8" w:rsidRPr="00B906EB" w:rsidRDefault="004D47E8" w:rsidP="00EF54F8">
            <w:pPr>
              <w:rPr>
                <w:b/>
                <w:i/>
              </w:rPr>
            </w:pPr>
          </w:p>
        </w:tc>
      </w:tr>
      <w:tr w:rsidR="004D47E8" w:rsidRPr="00B906EB" w14:paraId="14AE7D58" w14:textId="77777777" w:rsidTr="00EF54F8">
        <w:tc>
          <w:tcPr>
            <w:tcW w:w="4518" w:type="dxa"/>
            <w:gridSpan w:val="2"/>
          </w:tcPr>
          <w:p w14:paraId="7FD4EEA1" w14:textId="77777777" w:rsidR="004D47E8" w:rsidRPr="00B906EB" w:rsidRDefault="004D47E8" w:rsidP="00EF54F8">
            <w:pPr>
              <w:rPr>
                <w:b/>
                <w:i/>
              </w:rPr>
            </w:pPr>
          </w:p>
        </w:tc>
        <w:tc>
          <w:tcPr>
            <w:tcW w:w="450" w:type="dxa"/>
          </w:tcPr>
          <w:p w14:paraId="26D394E5" w14:textId="77777777" w:rsidR="004D47E8" w:rsidRPr="00B906EB" w:rsidRDefault="004D47E8" w:rsidP="00EF54F8">
            <w:pPr>
              <w:rPr>
                <w:b/>
                <w:i/>
              </w:rPr>
            </w:pPr>
          </w:p>
        </w:tc>
        <w:tc>
          <w:tcPr>
            <w:tcW w:w="4590" w:type="dxa"/>
            <w:gridSpan w:val="2"/>
          </w:tcPr>
          <w:p w14:paraId="1E03D927" w14:textId="77777777" w:rsidR="004D47E8" w:rsidRPr="00B906EB" w:rsidRDefault="004D47E8" w:rsidP="00EF54F8">
            <w:pPr>
              <w:rPr>
                <w:b/>
                <w:i/>
              </w:rPr>
            </w:pPr>
          </w:p>
        </w:tc>
      </w:tr>
      <w:tr w:rsidR="004D47E8" w:rsidRPr="00B906EB" w14:paraId="7555CEBA" w14:textId="77777777" w:rsidTr="00EF54F8">
        <w:trPr>
          <w:gridAfter w:val="1"/>
          <w:wAfter w:w="4518" w:type="dxa"/>
          <w:trHeight w:val="369"/>
        </w:trPr>
        <w:tc>
          <w:tcPr>
            <w:tcW w:w="450" w:type="dxa"/>
          </w:tcPr>
          <w:p w14:paraId="050B5A16" w14:textId="77777777" w:rsidR="004D47E8" w:rsidRPr="00B906EB" w:rsidRDefault="004D47E8" w:rsidP="00EF54F8">
            <w:pPr>
              <w:rPr>
                <w:b/>
                <w:i/>
              </w:rPr>
            </w:pPr>
          </w:p>
        </w:tc>
        <w:tc>
          <w:tcPr>
            <w:tcW w:w="4590" w:type="dxa"/>
            <w:gridSpan w:val="3"/>
          </w:tcPr>
          <w:p w14:paraId="1F8BAB8D" w14:textId="77777777" w:rsidR="004D47E8" w:rsidRPr="00B906EB" w:rsidRDefault="004D47E8" w:rsidP="00EF54F8">
            <w:pPr>
              <w:rPr>
                <w:b/>
              </w:rPr>
            </w:pPr>
          </w:p>
          <w:p w14:paraId="4C41047B" w14:textId="77777777" w:rsidR="004D47E8" w:rsidRPr="00B906EB" w:rsidRDefault="004D47E8" w:rsidP="00EF54F8">
            <w:pPr>
              <w:rPr>
                <w:b/>
              </w:rPr>
            </w:pPr>
          </w:p>
        </w:tc>
      </w:tr>
      <w:tr w:rsidR="004D47E8" w:rsidRPr="00B906EB" w14:paraId="68079B6F" w14:textId="77777777" w:rsidTr="00EF54F8">
        <w:trPr>
          <w:gridAfter w:val="1"/>
          <w:wAfter w:w="4518" w:type="dxa"/>
        </w:trPr>
        <w:tc>
          <w:tcPr>
            <w:tcW w:w="450" w:type="dxa"/>
          </w:tcPr>
          <w:p w14:paraId="77E8B2EC" w14:textId="77777777" w:rsidR="004D47E8" w:rsidRPr="00B906EB" w:rsidRDefault="004D47E8" w:rsidP="00EF54F8">
            <w:pPr>
              <w:rPr>
                <w:i/>
                <w:iCs/>
                <w:sz w:val="18"/>
              </w:rPr>
            </w:pPr>
          </w:p>
        </w:tc>
        <w:tc>
          <w:tcPr>
            <w:tcW w:w="4590" w:type="dxa"/>
            <w:gridSpan w:val="3"/>
            <w:tcBorders>
              <w:top w:val="single" w:sz="12" w:space="0" w:color="auto"/>
            </w:tcBorders>
          </w:tcPr>
          <w:p w14:paraId="35250398" w14:textId="77777777" w:rsidR="004D47E8" w:rsidRPr="00B906EB" w:rsidRDefault="004D47E8" w:rsidP="00EF54F8">
            <w:pPr>
              <w:rPr>
                <w:i/>
                <w:iCs/>
                <w:sz w:val="18"/>
              </w:rPr>
            </w:pPr>
            <w:r w:rsidRPr="00B906EB">
              <w:rPr>
                <w:i/>
                <w:iCs/>
                <w:sz w:val="18"/>
              </w:rPr>
              <w:t>Signature</w:t>
            </w:r>
          </w:p>
        </w:tc>
      </w:tr>
      <w:tr w:rsidR="004D47E8" w:rsidRPr="00B906EB" w14:paraId="629CDE6F" w14:textId="77777777" w:rsidTr="00EF54F8">
        <w:trPr>
          <w:gridAfter w:val="1"/>
          <w:wAfter w:w="4518" w:type="dxa"/>
          <w:trHeight w:val="360"/>
        </w:trPr>
        <w:tc>
          <w:tcPr>
            <w:tcW w:w="450" w:type="dxa"/>
          </w:tcPr>
          <w:p w14:paraId="06E2DA87" w14:textId="77777777" w:rsidR="004D47E8" w:rsidRPr="00B906EB" w:rsidRDefault="004D47E8" w:rsidP="00EF54F8">
            <w:pPr>
              <w:rPr>
                <w:b/>
                <w:i/>
                <w:iCs/>
                <w:sz w:val="18"/>
              </w:rPr>
            </w:pPr>
          </w:p>
        </w:tc>
        <w:tc>
          <w:tcPr>
            <w:tcW w:w="4590" w:type="dxa"/>
            <w:gridSpan w:val="3"/>
          </w:tcPr>
          <w:p w14:paraId="47E6216B" w14:textId="77777777" w:rsidR="004D47E8" w:rsidRPr="00B906EB" w:rsidRDefault="004D47E8" w:rsidP="00EF54F8">
            <w:pPr>
              <w:rPr>
                <w:b/>
                <w:i/>
                <w:iCs/>
                <w:sz w:val="18"/>
              </w:rPr>
            </w:pPr>
          </w:p>
        </w:tc>
      </w:tr>
      <w:tr w:rsidR="004D47E8" w:rsidRPr="005A721C" w14:paraId="04F476B6" w14:textId="77777777" w:rsidTr="00EF54F8">
        <w:trPr>
          <w:gridAfter w:val="1"/>
          <w:wAfter w:w="4518" w:type="dxa"/>
          <w:trHeight w:val="600"/>
        </w:trPr>
        <w:tc>
          <w:tcPr>
            <w:tcW w:w="450" w:type="dxa"/>
          </w:tcPr>
          <w:p w14:paraId="370E3CFD" w14:textId="77777777" w:rsidR="004D47E8" w:rsidRPr="005A721C" w:rsidRDefault="004D47E8" w:rsidP="00EF54F8">
            <w:pPr>
              <w:rPr>
                <w:b/>
                <w:i/>
                <w:iCs/>
                <w:sz w:val="18"/>
              </w:rPr>
            </w:pPr>
          </w:p>
        </w:tc>
        <w:tc>
          <w:tcPr>
            <w:tcW w:w="4590" w:type="dxa"/>
            <w:gridSpan w:val="3"/>
            <w:tcBorders>
              <w:top w:val="single" w:sz="12" w:space="0" w:color="auto"/>
              <w:bottom w:val="single" w:sz="12" w:space="0" w:color="auto"/>
            </w:tcBorders>
          </w:tcPr>
          <w:p w14:paraId="384688A2" w14:textId="77777777" w:rsidR="004D47E8" w:rsidRPr="005A721C" w:rsidRDefault="004D47E8" w:rsidP="00EF54F8">
            <w:pPr>
              <w:rPr>
                <w:b/>
                <w:i/>
                <w:iCs/>
                <w:sz w:val="18"/>
              </w:rPr>
            </w:pPr>
            <w:r w:rsidRPr="005A721C">
              <w:rPr>
                <w:i/>
                <w:iCs/>
                <w:sz w:val="18"/>
              </w:rPr>
              <w:t>Print or Type Name</w:t>
            </w:r>
          </w:p>
        </w:tc>
      </w:tr>
      <w:tr w:rsidR="004D47E8" w:rsidRPr="005A721C" w14:paraId="5815FE64" w14:textId="77777777" w:rsidTr="00EF54F8">
        <w:trPr>
          <w:gridAfter w:val="1"/>
          <w:wAfter w:w="4518" w:type="dxa"/>
          <w:trHeight w:val="159"/>
        </w:trPr>
        <w:tc>
          <w:tcPr>
            <w:tcW w:w="450" w:type="dxa"/>
          </w:tcPr>
          <w:p w14:paraId="317ADF03" w14:textId="77777777" w:rsidR="004D47E8" w:rsidRPr="005A721C" w:rsidRDefault="004D47E8" w:rsidP="00EF54F8">
            <w:pPr>
              <w:rPr>
                <w:b/>
                <w:i/>
                <w:iCs/>
                <w:sz w:val="18"/>
              </w:rPr>
            </w:pPr>
          </w:p>
        </w:tc>
        <w:tc>
          <w:tcPr>
            <w:tcW w:w="4590" w:type="dxa"/>
            <w:gridSpan w:val="3"/>
          </w:tcPr>
          <w:p w14:paraId="51CA4716" w14:textId="77777777" w:rsidR="004D47E8" w:rsidRPr="005A721C" w:rsidRDefault="004D47E8" w:rsidP="00EF54F8">
            <w:pPr>
              <w:rPr>
                <w:i/>
                <w:iCs/>
                <w:sz w:val="18"/>
              </w:rPr>
            </w:pPr>
            <w:r w:rsidRPr="005A721C">
              <w:rPr>
                <w:i/>
                <w:iCs/>
                <w:sz w:val="18"/>
              </w:rPr>
              <w:t>Title</w:t>
            </w:r>
            <w:r w:rsidRPr="005A721C">
              <w:rPr>
                <w:i/>
                <w:iCs/>
                <w:sz w:val="18"/>
              </w:rPr>
              <w:tab/>
              <w:t xml:space="preserve">                                                                      Date</w:t>
            </w:r>
          </w:p>
        </w:tc>
      </w:tr>
    </w:tbl>
    <w:p w14:paraId="5ECD35A4" w14:textId="77777777" w:rsidR="004D47E8" w:rsidRPr="005A721C" w:rsidRDefault="004D47E8" w:rsidP="004D47E8">
      <w:pPr>
        <w:ind w:right="360"/>
      </w:pPr>
    </w:p>
    <w:p w14:paraId="018FC354" w14:textId="77777777" w:rsidR="004D47E8" w:rsidRPr="005A721C" w:rsidRDefault="004D47E8" w:rsidP="004D47E8">
      <w:pPr>
        <w:pStyle w:val="Title"/>
        <w:ind w:left="0"/>
        <w:jc w:val="left"/>
        <w:rPr>
          <w:b w:val="0"/>
        </w:rPr>
      </w:pPr>
      <w:r w:rsidRPr="005A721C">
        <w:rPr>
          <w:b w:val="0"/>
        </w:rPr>
        <w:t>Exhibit 1</w:t>
      </w:r>
    </w:p>
    <w:p w14:paraId="03450C77" w14:textId="77777777" w:rsidR="004D47E8" w:rsidRPr="005A721C" w:rsidRDefault="004D47E8" w:rsidP="004D47E8">
      <w:pPr>
        <w:ind w:right="360"/>
      </w:pPr>
      <w:r w:rsidRPr="005A721C">
        <w:t>SOW Site Purchases</w:t>
      </w:r>
    </w:p>
    <w:p w14:paraId="0AFBE563" w14:textId="77777777" w:rsidR="004D47E8" w:rsidRDefault="004D47E8" w:rsidP="004D47E8">
      <w:pPr>
        <w:ind w:firstLine="720"/>
        <w:rPr>
          <w:b/>
        </w:rPr>
      </w:pPr>
    </w:p>
    <w:p w14:paraId="7C9BAFC2" w14:textId="77777777" w:rsidR="004D47E8" w:rsidRDefault="004D47E8" w:rsidP="004D47E8">
      <w:pPr>
        <w:rPr>
          <w:b/>
        </w:rPr>
      </w:pPr>
      <w:r>
        <w:rPr>
          <w:b/>
        </w:rPr>
        <w:t>Current Example:</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63"/>
        <w:gridCol w:w="1180"/>
        <w:gridCol w:w="894"/>
        <w:gridCol w:w="1172"/>
        <w:gridCol w:w="1328"/>
        <w:gridCol w:w="1040"/>
        <w:gridCol w:w="911"/>
      </w:tblGrid>
      <w:tr w:rsidR="00E5752C" w:rsidRPr="00F51E35" w14:paraId="4B135148" w14:textId="77777777" w:rsidTr="00B22317">
        <w:trPr>
          <w:trHeight w:val="330"/>
        </w:trPr>
        <w:tc>
          <w:tcPr>
            <w:tcW w:w="1417" w:type="dxa"/>
            <w:vAlign w:val="center"/>
            <w:hideMark/>
          </w:tcPr>
          <w:p w14:paraId="7BB29E28" w14:textId="383CF3C6" w:rsidR="00E5752C" w:rsidRPr="00F51E35" w:rsidRDefault="00523269" w:rsidP="00E5752C">
            <w:pPr>
              <w:jc w:val="center"/>
              <w:rPr>
                <w:rFonts w:ascii="Arial" w:hAnsi="Arial" w:cs="Arial"/>
                <w:b/>
                <w:sz w:val="20"/>
              </w:rPr>
            </w:pPr>
            <w:r>
              <w:rPr>
                <w:rFonts w:ascii="Arial" w:hAnsi="Arial" w:cs="Arial"/>
                <w:b/>
                <w:sz w:val="20"/>
              </w:rPr>
              <w:t>WaTech</w:t>
            </w:r>
            <w:r w:rsidR="00E5752C">
              <w:rPr>
                <w:rFonts w:ascii="Arial" w:hAnsi="Arial" w:cs="Arial"/>
                <w:b/>
                <w:sz w:val="20"/>
              </w:rPr>
              <w:t xml:space="preserve"> User</w:t>
            </w:r>
            <w:r w:rsidR="00E5752C" w:rsidRPr="00F51E35">
              <w:rPr>
                <w:rFonts w:ascii="Arial" w:hAnsi="Arial" w:cs="Arial"/>
                <w:b/>
                <w:sz w:val="20"/>
              </w:rPr>
              <w:t xml:space="preserve"> Site</w:t>
            </w:r>
          </w:p>
        </w:tc>
        <w:tc>
          <w:tcPr>
            <w:tcW w:w="1206" w:type="dxa"/>
            <w:vAlign w:val="center"/>
            <w:hideMark/>
          </w:tcPr>
          <w:p w14:paraId="0E6A4F02" w14:textId="77777777" w:rsidR="00E5752C" w:rsidRPr="00F51E35" w:rsidRDefault="00E5752C" w:rsidP="00E5752C">
            <w:pPr>
              <w:jc w:val="center"/>
              <w:rPr>
                <w:rFonts w:ascii="Arial" w:hAnsi="Arial" w:cs="Arial"/>
                <w:b/>
                <w:sz w:val="20"/>
              </w:rPr>
            </w:pPr>
            <w:r w:rsidRPr="00F51E35">
              <w:rPr>
                <w:rFonts w:ascii="Arial" w:hAnsi="Arial" w:cs="Arial"/>
                <w:b/>
                <w:sz w:val="20"/>
              </w:rPr>
              <w:t>Address</w:t>
            </w:r>
          </w:p>
        </w:tc>
        <w:tc>
          <w:tcPr>
            <w:tcW w:w="1307" w:type="dxa"/>
            <w:vAlign w:val="center"/>
            <w:hideMark/>
          </w:tcPr>
          <w:p w14:paraId="1F65B78D" w14:textId="77777777" w:rsidR="00E5752C" w:rsidRPr="00F51E35" w:rsidRDefault="00E5752C" w:rsidP="00E5752C">
            <w:pPr>
              <w:jc w:val="center"/>
              <w:rPr>
                <w:rFonts w:ascii="Arial" w:hAnsi="Arial" w:cs="Arial"/>
                <w:b/>
                <w:sz w:val="20"/>
              </w:rPr>
            </w:pPr>
            <w:r>
              <w:rPr>
                <w:rFonts w:ascii="Arial" w:hAnsi="Arial" w:cs="Arial"/>
                <w:b/>
                <w:sz w:val="20"/>
              </w:rPr>
              <w:t>City</w:t>
            </w:r>
          </w:p>
        </w:tc>
        <w:tc>
          <w:tcPr>
            <w:tcW w:w="894" w:type="dxa"/>
            <w:vAlign w:val="center"/>
          </w:tcPr>
          <w:p w14:paraId="1C3F5C10" w14:textId="77777777" w:rsidR="00E5752C" w:rsidRDefault="00E5752C" w:rsidP="00E5752C">
            <w:pPr>
              <w:jc w:val="center"/>
              <w:rPr>
                <w:rFonts w:ascii="Arial" w:hAnsi="Arial" w:cs="Arial"/>
                <w:b/>
                <w:sz w:val="20"/>
              </w:rPr>
            </w:pPr>
            <w:r>
              <w:rPr>
                <w:rFonts w:ascii="Arial" w:hAnsi="Arial" w:cs="Arial"/>
                <w:b/>
                <w:sz w:val="20"/>
              </w:rPr>
              <w:t xml:space="preserve">Upload Speed </w:t>
            </w:r>
            <w:r w:rsidRPr="00F51E35">
              <w:rPr>
                <w:rFonts w:ascii="Arial" w:hAnsi="Arial" w:cs="Arial"/>
                <w:b/>
                <w:sz w:val="20"/>
              </w:rPr>
              <w:t>Mb</w:t>
            </w:r>
          </w:p>
        </w:tc>
        <w:tc>
          <w:tcPr>
            <w:tcW w:w="894" w:type="dxa"/>
            <w:vAlign w:val="center"/>
          </w:tcPr>
          <w:p w14:paraId="45BBA25C" w14:textId="77777777" w:rsidR="00E5752C" w:rsidRPr="00F51E35" w:rsidRDefault="00E5752C" w:rsidP="00E5752C">
            <w:pPr>
              <w:jc w:val="center"/>
              <w:rPr>
                <w:rFonts w:ascii="Arial" w:hAnsi="Arial" w:cs="Arial"/>
                <w:b/>
                <w:sz w:val="20"/>
              </w:rPr>
            </w:pPr>
            <w:r>
              <w:rPr>
                <w:rFonts w:ascii="Arial" w:hAnsi="Arial" w:cs="Arial"/>
                <w:b/>
                <w:sz w:val="20"/>
              </w:rPr>
              <w:t xml:space="preserve">Download Speed </w:t>
            </w:r>
            <w:r w:rsidRPr="00F51E35">
              <w:rPr>
                <w:rFonts w:ascii="Arial" w:hAnsi="Arial" w:cs="Arial"/>
                <w:b/>
                <w:sz w:val="20"/>
              </w:rPr>
              <w:t>Mb</w:t>
            </w:r>
          </w:p>
        </w:tc>
        <w:tc>
          <w:tcPr>
            <w:tcW w:w="1328" w:type="dxa"/>
            <w:vAlign w:val="center"/>
          </w:tcPr>
          <w:p w14:paraId="4A508760" w14:textId="77777777" w:rsidR="00E5752C" w:rsidRPr="00F51E35" w:rsidRDefault="00E5752C" w:rsidP="00E5752C">
            <w:pPr>
              <w:jc w:val="center"/>
              <w:rPr>
                <w:rFonts w:ascii="Arial" w:hAnsi="Arial" w:cs="Arial"/>
                <w:b/>
                <w:sz w:val="20"/>
              </w:rPr>
            </w:pPr>
            <w:r w:rsidRPr="00A67550">
              <w:rPr>
                <w:rFonts w:ascii="Arial" w:hAnsi="Arial" w:cs="Arial"/>
                <w:b/>
                <w:sz w:val="20"/>
              </w:rPr>
              <w:t>Guaranteed Install Interval</w:t>
            </w:r>
          </w:p>
        </w:tc>
        <w:tc>
          <w:tcPr>
            <w:tcW w:w="1070" w:type="dxa"/>
            <w:vAlign w:val="center"/>
          </w:tcPr>
          <w:p w14:paraId="0E66538E" w14:textId="77777777" w:rsidR="00E5752C" w:rsidRPr="00F51E35" w:rsidRDefault="00E5752C" w:rsidP="00E5752C">
            <w:pPr>
              <w:jc w:val="center"/>
              <w:rPr>
                <w:rFonts w:ascii="Arial" w:hAnsi="Arial" w:cs="Arial"/>
                <w:b/>
                <w:sz w:val="20"/>
              </w:rPr>
            </w:pPr>
            <w:r w:rsidRPr="00F51E35">
              <w:rPr>
                <w:rFonts w:ascii="Arial" w:hAnsi="Arial" w:cs="Arial"/>
                <w:b/>
                <w:sz w:val="20"/>
              </w:rPr>
              <w:t>MRC</w:t>
            </w:r>
          </w:p>
        </w:tc>
        <w:tc>
          <w:tcPr>
            <w:tcW w:w="989" w:type="dxa"/>
            <w:vAlign w:val="center"/>
          </w:tcPr>
          <w:p w14:paraId="06A034B9" w14:textId="77777777" w:rsidR="00E5752C" w:rsidRPr="00F51E35" w:rsidRDefault="00E5752C" w:rsidP="00E5752C">
            <w:pPr>
              <w:jc w:val="center"/>
              <w:rPr>
                <w:rFonts w:ascii="Arial" w:hAnsi="Arial" w:cs="Arial"/>
                <w:b/>
                <w:sz w:val="20"/>
              </w:rPr>
            </w:pPr>
            <w:r w:rsidRPr="00F51E35">
              <w:rPr>
                <w:rFonts w:ascii="Arial" w:hAnsi="Arial" w:cs="Arial"/>
                <w:b/>
                <w:sz w:val="20"/>
              </w:rPr>
              <w:t>NRC</w:t>
            </w:r>
          </w:p>
        </w:tc>
      </w:tr>
      <w:tr w:rsidR="00E5752C" w14:paraId="5F1805ED" w14:textId="77777777" w:rsidTr="00B22317">
        <w:trPr>
          <w:trHeight w:val="330"/>
        </w:trPr>
        <w:tc>
          <w:tcPr>
            <w:tcW w:w="1417" w:type="dxa"/>
            <w:vAlign w:val="center"/>
            <w:hideMark/>
          </w:tcPr>
          <w:p w14:paraId="3F221A36" w14:textId="77777777" w:rsidR="00E5752C" w:rsidRDefault="00E5752C" w:rsidP="00E5752C">
            <w:pPr>
              <w:jc w:val="center"/>
              <w:rPr>
                <w:rFonts w:ascii="Arial" w:hAnsi="Arial" w:cs="Arial"/>
                <w:sz w:val="20"/>
              </w:rPr>
            </w:pPr>
            <w:proofErr w:type="spellStart"/>
            <w:r>
              <w:rPr>
                <w:rFonts w:ascii="Arial" w:hAnsi="Arial" w:cs="Arial"/>
                <w:sz w:val="20"/>
              </w:rPr>
              <w:t>AgencyXXXX</w:t>
            </w:r>
            <w:proofErr w:type="spellEnd"/>
          </w:p>
        </w:tc>
        <w:tc>
          <w:tcPr>
            <w:tcW w:w="1206" w:type="dxa"/>
            <w:vAlign w:val="center"/>
            <w:hideMark/>
          </w:tcPr>
          <w:p w14:paraId="1A546867" w14:textId="77777777" w:rsidR="00E5752C" w:rsidRDefault="00E5752C" w:rsidP="00E5752C">
            <w:pPr>
              <w:jc w:val="center"/>
              <w:rPr>
                <w:rFonts w:ascii="Arial" w:hAnsi="Arial" w:cs="Arial"/>
                <w:sz w:val="20"/>
              </w:rPr>
            </w:pPr>
            <w:r>
              <w:rPr>
                <w:rFonts w:ascii="Arial" w:hAnsi="Arial" w:cs="Arial"/>
                <w:sz w:val="20"/>
              </w:rPr>
              <w:t>1234 W 1</w:t>
            </w:r>
            <w:r w:rsidRPr="005264EC">
              <w:rPr>
                <w:rFonts w:ascii="Arial" w:hAnsi="Arial" w:cs="Arial"/>
                <w:sz w:val="20"/>
                <w:vertAlign w:val="superscript"/>
              </w:rPr>
              <w:t>st</w:t>
            </w:r>
            <w:r>
              <w:rPr>
                <w:rFonts w:ascii="Arial" w:hAnsi="Arial" w:cs="Arial"/>
                <w:sz w:val="20"/>
              </w:rPr>
              <w:t xml:space="preserve"> Street</w:t>
            </w:r>
          </w:p>
        </w:tc>
        <w:tc>
          <w:tcPr>
            <w:tcW w:w="1307" w:type="dxa"/>
            <w:vAlign w:val="center"/>
            <w:hideMark/>
          </w:tcPr>
          <w:p w14:paraId="333608A4" w14:textId="77777777" w:rsidR="00E5752C" w:rsidRDefault="00E5752C" w:rsidP="00E5752C">
            <w:pPr>
              <w:jc w:val="center"/>
              <w:rPr>
                <w:rFonts w:ascii="Arial" w:hAnsi="Arial" w:cs="Arial"/>
                <w:sz w:val="20"/>
              </w:rPr>
            </w:pPr>
            <w:r>
              <w:rPr>
                <w:rFonts w:ascii="Arial" w:hAnsi="Arial" w:cs="Arial"/>
                <w:sz w:val="20"/>
              </w:rPr>
              <w:t>City Name</w:t>
            </w:r>
          </w:p>
        </w:tc>
        <w:tc>
          <w:tcPr>
            <w:tcW w:w="894" w:type="dxa"/>
            <w:vAlign w:val="center"/>
          </w:tcPr>
          <w:p w14:paraId="3AF65186" w14:textId="77777777" w:rsidR="00E5752C" w:rsidRDefault="00E5752C" w:rsidP="00E5752C">
            <w:pPr>
              <w:jc w:val="center"/>
              <w:rPr>
                <w:rFonts w:ascii="Arial" w:hAnsi="Arial" w:cs="Arial"/>
                <w:sz w:val="20"/>
              </w:rPr>
            </w:pPr>
            <w:r>
              <w:rPr>
                <w:rFonts w:ascii="Arial" w:hAnsi="Arial" w:cs="Arial"/>
                <w:sz w:val="20"/>
              </w:rPr>
              <w:t>100</w:t>
            </w:r>
          </w:p>
        </w:tc>
        <w:tc>
          <w:tcPr>
            <w:tcW w:w="894" w:type="dxa"/>
            <w:vAlign w:val="center"/>
          </w:tcPr>
          <w:p w14:paraId="16A24245" w14:textId="77777777" w:rsidR="00E5752C" w:rsidRDefault="00E5752C" w:rsidP="00E5752C">
            <w:pPr>
              <w:jc w:val="center"/>
              <w:rPr>
                <w:rFonts w:ascii="Arial" w:hAnsi="Arial" w:cs="Arial"/>
                <w:sz w:val="20"/>
              </w:rPr>
            </w:pPr>
            <w:r>
              <w:rPr>
                <w:rFonts w:ascii="Arial" w:hAnsi="Arial" w:cs="Arial"/>
                <w:sz w:val="20"/>
              </w:rPr>
              <w:t>100</w:t>
            </w:r>
          </w:p>
        </w:tc>
        <w:tc>
          <w:tcPr>
            <w:tcW w:w="1328" w:type="dxa"/>
            <w:vAlign w:val="center"/>
          </w:tcPr>
          <w:p w14:paraId="69D51A92" w14:textId="77777777" w:rsidR="00E5752C" w:rsidRDefault="00E5752C" w:rsidP="00E5752C">
            <w:pPr>
              <w:jc w:val="center"/>
              <w:rPr>
                <w:rFonts w:ascii="Arial" w:hAnsi="Arial" w:cs="Arial"/>
                <w:sz w:val="20"/>
              </w:rPr>
            </w:pPr>
            <w:r>
              <w:rPr>
                <w:rFonts w:ascii="Arial" w:hAnsi="Arial" w:cs="Arial"/>
                <w:sz w:val="20"/>
              </w:rPr>
              <w:t>30 days</w:t>
            </w:r>
          </w:p>
        </w:tc>
        <w:tc>
          <w:tcPr>
            <w:tcW w:w="1070" w:type="dxa"/>
            <w:vAlign w:val="center"/>
          </w:tcPr>
          <w:p w14:paraId="2F693426" w14:textId="77777777" w:rsidR="00E5752C" w:rsidRDefault="00E5752C" w:rsidP="00E5752C">
            <w:pPr>
              <w:jc w:val="center"/>
              <w:rPr>
                <w:rFonts w:ascii="Arial" w:hAnsi="Arial" w:cs="Arial"/>
                <w:sz w:val="20"/>
              </w:rPr>
            </w:pPr>
            <w:r>
              <w:rPr>
                <w:rFonts w:ascii="Arial" w:hAnsi="Arial" w:cs="Arial"/>
                <w:sz w:val="20"/>
              </w:rPr>
              <w:t>$750.00</w:t>
            </w:r>
          </w:p>
        </w:tc>
        <w:tc>
          <w:tcPr>
            <w:tcW w:w="989" w:type="dxa"/>
            <w:vAlign w:val="center"/>
          </w:tcPr>
          <w:p w14:paraId="720258DD" w14:textId="77777777" w:rsidR="00E5752C" w:rsidRDefault="00E5752C" w:rsidP="00E5752C">
            <w:pPr>
              <w:jc w:val="center"/>
              <w:rPr>
                <w:rFonts w:ascii="Arial" w:hAnsi="Arial" w:cs="Arial"/>
                <w:sz w:val="20"/>
              </w:rPr>
            </w:pPr>
            <w:r>
              <w:rPr>
                <w:rFonts w:ascii="Arial" w:hAnsi="Arial" w:cs="Arial"/>
                <w:sz w:val="20"/>
              </w:rPr>
              <w:t>$0</w:t>
            </w:r>
          </w:p>
        </w:tc>
      </w:tr>
    </w:tbl>
    <w:p w14:paraId="37A847D0" w14:textId="77777777" w:rsidR="004D47E8" w:rsidRPr="005A721C" w:rsidRDefault="004D47E8" w:rsidP="004D47E8">
      <w:pPr>
        <w:ind w:firstLine="720"/>
        <w:rPr>
          <w:b/>
        </w:rPr>
      </w:pPr>
    </w:p>
    <w:p w14:paraId="4DD7D3EC" w14:textId="77777777" w:rsidR="004D47E8" w:rsidRPr="005A721C" w:rsidRDefault="004D47E8" w:rsidP="004D47E8">
      <w:pPr>
        <w:pStyle w:val="Title"/>
        <w:ind w:left="0"/>
        <w:jc w:val="left"/>
        <w:rPr>
          <w:b w:val="0"/>
        </w:rPr>
      </w:pPr>
      <w:r w:rsidRPr="005A721C">
        <w:rPr>
          <w:b w:val="0"/>
        </w:rPr>
        <w:t>Exhibit 2</w:t>
      </w:r>
    </w:p>
    <w:p w14:paraId="6BE9EB02" w14:textId="3F00E334" w:rsidR="004D47E8" w:rsidRPr="005A721C" w:rsidRDefault="004D47E8" w:rsidP="004D47E8">
      <w:pPr>
        <w:ind w:right="360"/>
      </w:pPr>
      <w:r>
        <w:t>Contractor</w:t>
      </w:r>
      <w:r w:rsidRPr="005A721C">
        <w:t xml:space="preserve"> Response to </w:t>
      </w:r>
      <w:r w:rsidR="00523269">
        <w:t>WaTech</w:t>
      </w:r>
      <w:r w:rsidRPr="005A721C">
        <w:t xml:space="preserve"> Procurement Number ------------</w:t>
      </w:r>
    </w:p>
    <w:p w14:paraId="07E9A99C" w14:textId="77777777" w:rsidR="004D47E8" w:rsidRPr="005A721C" w:rsidRDefault="004D47E8" w:rsidP="004D47E8">
      <w:pPr>
        <w:pStyle w:val="Title"/>
        <w:rPr>
          <w:b w:val="0"/>
        </w:rPr>
      </w:pPr>
    </w:p>
    <w:p w14:paraId="2A1C7F25" w14:textId="77777777" w:rsidR="004D47E8" w:rsidRPr="005A721C" w:rsidRDefault="004D47E8" w:rsidP="004D47E8">
      <w:pPr>
        <w:pStyle w:val="Title"/>
        <w:rPr>
          <w:b w:val="0"/>
        </w:rPr>
      </w:pPr>
    </w:p>
    <w:p w14:paraId="02FBD0F8" w14:textId="77777777" w:rsidR="004D47E8" w:rsidRPr="005A721C" w:rsidRDefault="004D47E8" w:rsidP="004D47E8">
      <w:pPr>
        <w:ind w:right="90"/>
        <w:rPr>
          <w:b/>
        </w:rPr>
      </w:pPr>
    </w:p>
    <w:p w14:paraId="118C5991" w14:textId="50486FD8" w:rsidR="004D47E8" w:rsidRPr="005A721C" w:rsidRDefault="00094ED0" w:rsidP="004D47E8">
      <w:pPr>
        <w:ind w:right="90"/>
        <w:rPr>
          <w:b/>
        </w:rPr>
      </w:pPr>
      <w:r>
        <w:rPr>
          <w:b/>
        </w:rPr>
        <w:t>Exhibit 3</w:t>
      </w:r>
    </w:p>
    <w:p w14:paraId="5054CE3E" w14:textId="77777777" w:rsidR="004D47E8" w:rsidRPr="005A721C" w:rsidRDefault="004D47E8" w:rsidP="004D47E8">
      <w:pPr>
        <w:ind w:right="90"/>
        <w:rPr>
          <w:b/>
        </w:rPr>
      </w:pPr>
      <w:r>
        <w:rPr>
          <w:b/>
        </w:rPr>
        <w:t xml:space="preserve">Broadband ISP </w:t>
      </w:r>
      <w:r w:rsidRPr="005A721C">
        <w:rPr>
          <w:b/>
        </w:rPr>
        <w:t xml:space="preserve">Tech Order </w:t>
      </w:r>
    </w:p>
    <w:p w14:paraId="607904B3" w14:textId="77777777" w:rsidR="004D47E8" w:rsidRPr="005A721C" w:rsidRDefault="004D47E8" w:rsidP="004D47E8">
      <w:pPr>
        <w:ind w:right="90"/>
      </w:pPr>
    </w:p>
    <w:p w14:paraId="1DB6419D" w14:textId="77777777" w:rsidR="00177F96" w:rsidRDefault="00177F96"/>
    <w:sectPr w:rsidR="00177F96" w:rsidSect="00690310">
      <w:footerReference w:type="default" r:id="rId8"/>
      <w:headerReference w:type="firs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8777" w14:textId="77777777" w:rsidR="00DD43E7" w:rsidRDefault="00DD43E7">
      <w:r>
        <w:separator/>
      </w:r>
    </w:p>
  </w:endnote>
  <w:endnote w:type="continuationSeparator" w:id="0">
    <w:p w14:paraId="2FA0005F" w14:textId="77777777" w:rsidR="00DD43E7" w:rsidRDefault="00DD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4A5F" w14:textId="325DB71D" w:rsidR="007D612A" w:rsidRPr="007E71B3" w:rsidRDefault="007D612A" w:rsidP="007D612A">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00710B56">
      <w:rPr>
        <w:rStyle w:val="PageNumber"/>
        <w:iCs/>
      </w:rPr>
      <w:t>Network</w:t>
    </w:r>
    <w:r>
      <w:rPr>
        <w:rStyle w:val="PageNumber"/>
        <w:iCs/>
      </w:rPr>
      <w:t xml:space="preserve"> Services Agreement </w:t>
    </w:r>
    <w:r w:rsidR="00BB2DF2">
      <w:rPr>
        <w:rStyle w:val="PageNumber"/>
        <w:iCs/>
      </w:rPr>
      <w:t>2</w:t>
    </w:r>
    <w:r w:rsidR="00411EC2">
      <w:rPr>
        <w:rStyle w:val="PageNumber"/>
        <w:iCs/>
      </w:rPr>
      <w:t>5</w:t>
    </w:r>
    <w:r w:rsidR="00C86B06">
      <w:rPr>
        <w:rStyle w:val="PageNumber"/>
        <w:iCs/>
      </w:rPr>
      <w:t>-X</w:t>
    </w:r>
    <w:r w:rsidR="00BB2DF2">
      <w:rPr>
        <w:rStyle w:val="PageNumber"/>
        <w:iCs/>
      </w:rPr>
      <w:t>XX</w:t>
    </w:r>
  </w:p>
  <w:p w14:paraId="5F167FD0" w14:textId="01175954" w:rsidR="007D612A" w:rsidRDefault="00411EC2" w:rsidP="00BB2DF2">
    <w:pPr>
      <w:pStyle w:val="Footer"/>
      <w:pBdr>
        <w:top w:val="single" w:sz="4" w:space="1" w:color="auto"/>
      </w:pBdr>
      <w:tabs>
        <w:tab w:val="clear" w:pos="4320"/>
        <w:tab w:val="clear" w:pos="8640"/>
        <w:tab w:val="center" w:pos="5040"/>
        <w:tab w:val="right" w:pos="9360"/>
      </w:tabs>
    </w:pPr>
    <w:r>
      <w:t>Washington Technology Solutions</w:t>
    </w:r>
    <w:r w:rsidR="007D612A" w:rsidRPr="007E71B3">
      <w:tab/>
    </w:r>
    <w:r w:rsidR="007D612A" w:rsidRPr="007E71B3">
      <w:rPr>
        <w:rStyle w:val="PageNumber"/>
      </w:rPr>
      <w:fldChar w:fldCharType="begin"/>
    </w:r>
    <w:r w:rsidR="007D612A" w:rsidRPr="007E71B3">
      <w:rPr>
        <w:rStyle w:val="PageNumber"/>
      </w:rPr>
      <w:instrText xml:space="preserve"> PAGE </w:instrText>
    </w:r>
    <w:r w:rsidR="007D612A" w:rsidRPr="007E71B3">
      <w:rPr>
        <w:rStyle w:val="PageNumber"/>
      </w:rPr>
      <w:fldChar w:fldCharType="separate"/>
    </w:r>
    <w:r w:rsidR="0086604C">
      <w:rPr>
        <w:rStyle w:val="PageNumber"/>
      </w:rPr>
      <w:t>10</w:t>
    </w:r>
    <w:r w:rsidR="007D612A" w:rsidRPr="007E71B3">
      <w:rPr>
        <w:rStyle w:val="PageNumber"/>
      </w:rPr>
      <w:fldChar w:fldCharType="end"/>
    </w:r>
    <w:r w:rsidR="007D612A" w:rsidRPr="007E71B3">
      <w:tab/>
    </w:r>
    <w:r w:rsidR="0020466C">
      <w:t xml:space="preserve">Addendum 04 - </w:t>
    </w:r>
    <w:r w:rsidR="007D612A">
      <w:t xml:space="preserve">Broadband ISP Services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B90E" w14:textId="3DFE0105" w:rsidR="0060609E" w:rsidRPr="007E71B3" w:rsidRDefault="006C6F8B">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00710B56">
      <w:rPr>
        <w:rStyle w:val="PageNumber"/>
        <w:iCs/>
      </w:rPr>
      <w:t>Network</w:t>
    </w:r>
    <w:r w:rsidR="007D612A">
      <w:rPr>
        <w:rStyle w:val="PageNumber"/>
        <w:iCs/>
      </w:rPr>
      <w:t xml:space="preserve"> Services Agreement </w:t>
    </w:r>
    <w:r w:rsidR="00BB2DF2">
      <w:rPr>
        <w:rStyle w:val="PageNumber"/>
        <w:iCs/>
      </w:rPr>
      <w:t>2</w:t>
    </w:r>
    <w:r w:rsidR="00411EC2">
      <w:rPr>
        <w:rStyle w:val="PageNumber"/>
        <w:iCs/>
      </w:rPr>
      <w:t>5</w:t>
    </w:r>
    <w:r w:rsidR="00BB2DF2">
      <w:rPr>
        <w:rStyle w:val="PageNumber"/>
        <w:iCs/>
      </w:rPr>
      <w:t>-XXX</w:t>
    </w:r>
  </w:p>
  <w:p w14:paraId="39C4485F" w14:textId="735EE51A" w:rsidR="0060609E" w:rsidRPr="007E71B3" w:rsidRDefault="00411EC2">
    <w:pPr>
      <w:pStyle w:val="Footer"/>
      <w:pBdr>
        <w:top w:val="single" w:sz="4" w:space="1" w:color="auto"/>
      </w:pBdr>
      <w:tabs>
        <w:tab w:val="clear" w:pos="4320"/>
        <w:tab w:val="clear" w:pos="8640"/>
        <w:tab w:val="center" w:pos="5040"/>
        <w:tab w:val="right" w:pos="9360"/>
      </w:tabs>
    </w:pPr>
    <w:r>
      <w:t>Washington Technology Solutions</w:t>
    </w:r>
    <w:r w:rsidR="006C6F8B" w:rsidRPr="007E71B3">
      <w:tab/>
    </w:r>
    <w:r w:rsidR="006C6F8B" w:rsidRPr="007E71B3">
      <w:rPr>
        <w:rStyle w:val="PageNumber"/>
      </w:rPr>
      <w:fldChar w:fldCharType="begin"/>
    </w:r>
    <w:r w:rsidR="006C6F8B" w:rsidRPr="007E71B3">
      <w:rPr>
        <w:rStyle w:val="PageNumber"/>
      </w:rPr>
      <w:instrText xml:space="preserve"> PAGE </w:instrText>
    </w:r>
    <w:r w:rsidR="006C6F8B" w:rsidRPr="007E71B3">
      <w:rPr>
        <w:rStyle w:val="PageNumber"/>
      </w:rPr>
      <w:fldChar w:fldCharType="separate"/>
    </w:r>
    <w:r w:rsidR="0086604C">
      <w:rPr>
        <w:rStyle w:val="PageNumber"/>
      </w:rPr>
      <w:t>1</w:t>
    </w:r>
    <w:r w:rsidR="006C6F8B" w:rsidRPr="007E71B3">
      <w:rPr>
        <w:rStyle w:val="PageNumber"/>
      </w:rPr>
      <w:fldChar w:fldCharType="end"/>
    </w:r>
    <w:r w:rsidR="006C6F8B" w:rsidRPr="007E71B3">
      <w:tab/>
    </w:r>
    <w:r w:rsidR="0020466C">
      <w:t xml:space="preserve">Addendum 04 - </w:t>
    </w:r>
    <w:r w:rsidR="007D612A">
      <w:t xml:space="preserve">Broadband ISP Services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E77A8" w14:textId="77777777" w:rsidR="00DD43E7" w:rsidRDefault="00DD43E7">
      <w:r>
        <w:separator/>
      </w:r>
    </w:p>
  </w:footnote>
  <w:footnote w:type="continuationSeparator" w:id="0">
    <w:p w14:paraId="3C982765" w14:textId="77777777" w:rsidR="00DD43E7" w:rsidRDefault="00DD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3551" w14:textId="77777777" w:rsidR="0060609E" w:rsidRDefault="006060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79A"/>
    <w:multiLevelType w:val="multilevel"/>
    <w:tmpl w:val="7E7820F0"/>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15:restartNumberingAfterBreak="0">
    <w:nsid w:val="17AC4617"/>
    <w:multiLevelType w:val="multilevel"/>
    <w:tmpl w:val="357892D2"/>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15:restartNumberingAfterBreak="0">
    <w:nsid w:val="1E7C2DF8"/>
    <w:multiLevelType w:val="multilevel"/>
    <w:tmpl w:val="6896D36A"/>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 w15:restartNumberingAfterBreak="0">
    <w:nsid w:val="205A5EC5"/>
    <w:multiLevelType w:val="multilevel"/>
    <w:tmpl w:val="6896D36A"/>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 w15:restartNumberingAfterBreak="0">
    <w:nsid w:val="243820CD"/>
    <w:multiLevelType w:val="multilevel"/>
    <w:tmpl w:val="86B08E1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2520"/>
        </w:tabs>
        <w:ind w:left="25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080"/>
        </w:tabs>
        <w:ind w:left="1080" w:hanging="360"/>
      </w:pPr>
      <w:rPr>
        <w:rFonts w:hint="default"/>
        <w:i w:val="0"/>
        <w:color w:val="auto"/>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15:restartNumberingAfterBreak="0">
    <w:nsid w:val="2B8C4234"/>
    <w:multiLevelType w:val="hybridMultilevel"/>
    <w:tmpl w:val="2FE0F888"/>
    <w:lvl w:ilvl="0" w:tplc="0409000F">
      <w:start w:val="1"/>
      <w:numFmt w:val="decimal"/>
      <w:lvlText w:val="%1."/>
      <w:lvlJc w:val="left"/>
      <w:pPr>
        <w:tabs>
          <w:tab w:val="num" w:pos="2880"/>
        </w:tabs>
        <w:ind w:left="2880" w:hanging="360"/>
      </w:pPr>
    </w:lvl>
    <w:lvl w:ilvl="1" w:tplc="22AA28C4">
      <w:start w:val="1"/>
      <w:numFmt w:val="bullet"/>
      <w:pStyle w:val="bulletlist"/>
      <w:lvlText w:val=""/>
      <w:lvlJc w:val="left"/>
      <w:pPr>
        <w:tabs>
          <w:tab w:val="num" w:pos="3600"/>
        </w:tabs>
        <w:ind w:left="3600" w:hanging="360"/>
      </w:pPr>
      <w:rPr>
        <w:rFonts w:ascii="Symbol" w:hAnsi="Symbol" w:hint="default"/>
      </w:r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36C02E8B"/>
    <w:multiLevelType w:val="multilevel"/>
    <w:tmpl w:val="7E7820F0"/>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 w15:restartNumberingAfterBreak="0">
    <w:nsid w:val="3EA91CDB"/>
    <w:multiLevelType w:val="hybridMultilevel"/>
    <w:tmpl w:val="56DA6018"/>
    <w:lvl w:ilvl="0" w:tplc="3E244948">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3F753C07"/>
    <w:multiLevelType w:val="hybridMultilevel"/>
    <w:tmpl w:val="301C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86DEA"/>
    <w:multiLevelType w:val="multilevel"/>
    <w:tmpl w:val="031E00AC"/>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0" w15:restartNumberingAfterBreak="0">
    <w:nsid w:val="584B73D5"/>
    <w:multiLevelType w:val="multilevel"/>
    <w:tmpl w:val="F1CE33E4"/>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 w15:restartNumberingAfterBreak="0">
    <w:nsid w:val="5B410B5B"/>
    <w:multiLevelType w:val="hybridMultilevel"/>
    <w:tmpl w:val="92C8AD0E"/>
    <w:lvl w:ilvl="0" w:tplc="3E24494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CED3689"/>
    <w:multiLevelType w:val="hybridMultilevel"/>
    <w:tmpl w:val="DC4E51FA"/>
    <w:lvl w:ilvl="0" w:tplc="5F0A6D44">
      <w:start w:val="1"/>
      <w:numFmt w:val="bullet"/>
      <w:pStyle w:val="Heading3"/>
      <w:lvlText w:val=""/>
      <w:lvlJc w:val="left"/>
      <w:pPr>
        <w:ind w:left="324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9094AE7"/>
    <w:multiLevelType w:val="multilevel"/>
    <w:tmpl w:val="5B8EB280"/>
    <w:lvl w:ilvl="0">
      <w:start w:val="1"/>
      <w:numFmt w:val="decimal"/>
      <w:lvlText w:val="%1."/>
      <w:lvlJc w:val="left"/>
      <w:pPr>
        <w:tabs>
          <w:tab w:val="num" w:pos="360"/>
        </w:tabs>
        <w:ind w:left="360" w:hanging="360"/>
      </w:pPr>
    </w:lvl>
    <w:lvl w:ilvl="1">
      <w:start w:val="1"/>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880"/>
        </w:tabs>
        <w:ind w:left="2880" w:hanging="144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7D28367E"/>
    <w:multiLevelType w:val="multilevel"/>
    <w:tmpl w:val="7D50059C"/>
    <w:lvl w:ilvl="0">
      <w:start w:val="1"/>
      <w:numFmt w:val="lowerLetter"/>
      <w:lvlText w:val="%1)"/>
      <w:lvlJc w:val="left"/>
      <w:pPr>
        <w:tabs>
          <w:tab w:val="num" w:pos="2160"/>
        </w:tabs>
        <w:ind w:left="2160" w:hanging="720"/>
      </w:pPr>
    </w:lvl>
    <w:lvl w:ilvl="1">
      <w:start w:val="1"/>
      <w:numFmt w:val="bullet"/>
      <w:lvlText w:val=""/>
      <w:lvlJc w:val="left"/>
      <w:pPr>
        <w:tabs>
          <w:tab w:val="num" w:pos="3690"/>
        </w:tabs>
        <w:ind w:left="369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16cid:durableId="1640643485">
    <w:abstractNumId w:val="13"/>
  </w:num>
  <w:num w:numId="2" w16cid:durableId="1979796337">
    <w:abstractNumId w:val="4"/>
  </w:num>
  <w:num w:numId="3" w16cid:durableId="21784655">
    <w:abstractNumId w:val="12"/>
  </w:num>
  <w:num w:numId="4" w16cid:durableId="280767098">
    <w:abstractNumId w:val="5"/>
  </w:num>
  <w:num w:numId="5" w16cid:durableId="1936858668">
    <w:abstractNumId w:val="0"/>
  </w:num>
  <w:num w:numId="6" w16cid:durableId="1066689163">
    <w:abstractNumId w:val="2"/>
  </w:num>
  <w:num w:numId="7" w16cid:durableId="1700282263">
    <w:abstractNumId w:val="10"/>
  </w:num>
  <w:num w:numId="8" w16cid:durableId="565385512">
    <w:abstractNumId w:val="14"/>
  </w:num>
  <w:num w:numId="9" w16cid:durableId="612984612">
    <w:abstractNumId w:val="1"/>
  </w:num>
  <w:num w:numId="10" w16cid:durableId="1251624960">
    <w:abstractNumId w:val="9"/>
  </w:num>
  <w:num w:numId="11" w16cid:durableId="734474037">
    <w:abstractNumId w:val="8"/>
  </w:num>
  <w:num w:numId="12" w16cid:durableId="574438393">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064887">
    <w:abstractNumId w:val="4"/>
  </w:num>
  <w:num w:numId="14" w16cid:durableId="1473518644">
    <w:abstractNumId w:val="4"/>
  </w:num>
  <w:num w:numId="15" w16cid:durableId="1174881483">
    <w:abstractNumId w:val="4"/>
  </w:num>
  <w:num w:numId="16" w16cid:durableId="801507006">
    <w:abstractNumId w:val="4"/>
  </w:num>
  <w:num w:numId="17" w16cid:durableId="1660964868">
    <w:abstractNumId w:val="4"/>
  </w:num>
  <w:num w:numId="18" w16cid:durableId="752161272">
    <w:abstractNumId w:val="4"/>
  </w:num>
  <w:num w:numId="19" w16cid:durableId="1490898276">
    <w:abstractNumId w:val="4"/>
  </w:num>
  <w:num w:numId="20" w16cid:durableId="1774325808">
    <w:abstractNumId w:val="4"/>
  </w:num>
  <w:num w:numId="21" w16cid:durableId="1769497242">
    <w:abstractNumId w:val="4"/>
  </w:num>
  <w:num w:numId="22" w16cid:durableId="50809634">
    <w:abstractNumId w:val="4"/>
  </w:num>
  <w:num w:numId="23" w16cid:durableId="1394962075">
    <w:abstractNumId w:val="4"/>
  </w:num>
  <w:num w:numId="24" w16cid:durableId="412048460">
    <w:abstractNumId w:val="4"/>
  </w:num>
  <w:num w:numId="25" w16cid:durableId="577517414">
    <w:abstractNumId w:val="4"/>
  </w:num>
  <w:num w:numId="26" w16cid:durableId="1671063652">
    <w:abstractNumId w:val="4"/>
  </w:num>
  <w:num w:numId="27" w16cid:durableId="2113628078">
    <w:abstractNumId w:val="4"/>
  </w:num>
  <w:num w:numId="28" w16cid:durableId="354429224">
    <w:abstractNumId w:val="4"/>
  </w:num>
  <w:num w:numId="29" w16cid:durableId="993608982">
    <w:abstractNumId w:val="4"/>
  </w:num>
  <w:num w:numId="30" w16cid:durableId="1429305862">
    <w:abstractNumId w:val="4"/>
  </w:num>
  <w:num w:numId="31" w16cid:durableId="904071901">
    <w:abstractNumId w:val="6"/>
  </w:num>
  <w:num w:numId="32" w16cid:durableId="1045837613">
    <w:abstractNumId w:val="4"/>
  </w:num>
  <w:num w:numId="33" w16cid:durableId="652220962">
    <w:abstractNumId w:val="4"/>
  </w:num>
  <w:num w:numId="34" w16cid:durableId="124589319">
    <w:abstractNumId w:val="4"/>
  </w:num>
  <w:num w:numId="35" w16cid:durableId="788741597">
    <w:abstractNumId w:val="4"/>
  </w:num>
  <w:num w:numId="36" w16cid:durableId="993333188">
    <w:abstractNumId w:val="4"/>
  </w:num>
  <w:num w:numId="37" w16cid:durableId="1756129518">
    <w:abstractNumId w:val="4"/>
  </w:num>
  <w:num w:numId="38" w16cid:durableId="1184512200">
    <w:abstractNumId w:val="11"/>
  </w:num>
  <w:num w:numId="39" w16cid:durableId="1341394712">
    <w:abstractNumId w:val="7"/>
  </w:num>
  <w:num w:numId="40" w16cid:durableId="1456365103">
    <w:abstractNumId w:val="4"/>
  </w:num>
  <w:num w:numId="41" w16cid:durableId="1203135565">
    <w:abstractNumId w:val="4"/>
  </w:num>
  <w:num w:numId="42" w16cid:durableId="1540314094">
    <w:abstractNumId w:val="4"/>
  </w:num>
  <w:num w:numId="43" w16cid:durableId="1117407753">
    <w:abstractNumId w:val="4"/>
  </w:num>
  <w:num w:numId="44" w16cid:durableId="185718705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E8"/>
    <w:rsid w:val="00010853"/>
    <w:rsid w:val="0001223B"/>
    <w:rsid w:val="00015A45"/>
    <w:rsid w:val="00024729"/>
    <w:rsid w:val="00030306"/>
    <w:rsid w:val="00031504"/>
    <w:rsid w:val="00036738"/>
    <w:rsid w:val="00050A7A"/>
    <w:rsid w:val="0006271E"/>
    <w:rsid w:val="00064EF0"/>
    <w:rsid w:val="00070552"/>
    <w:rsid w:val="0007157A"/>
    <w:rsid w:val="00094ED0"/>
    <w:rsid w:val="0009691D"/>
    <w:rsid w:val="000A65C4"/>
    <w:rsid w:val="000C2706"/>
    <w:rsid w:val="000C2E7E"/>
    <w:rsid w:val="000D49B6"/>
    <w:rsid w:val="000E34AC"/>
    <w:rsid w:val="00113CC8"/>
    <w:rsid w:val="00131FAD"/>
    <w:rsid w:val="00137CFB"/>
    <w:rsid w:val="00166A0D"/>
    <w:rsid w:val="00174DF8"/>
    <w:rsid w:val="00177F96"/>
    <w:rsid w:val="00185D85"/>
    <w:rsid w:val="001B644A"/>
    <w:rsid w:val="001C1DCB"/>
    <w:rsid w:val="001D7D47"/>
    <w:rsid w:val="0020466C"/>
    <w:rsid w:val="002046C4"/>
    <w:rsid w:val="00214A27"/>
    <w:rsid w:val="002270A8"/>
    <w:rsid w:val="00237826"/>
    <w:rsid w:val="00253A57"/>
    <w:rsid w:val="00260B8F"/>
    <w:rsid w:val="0027162A"/>
    <w:rsid w:val="002811FE"/>
    <w:rsid w:val="002F7D30"/>
    <w:rsid w:val="00301656"/>
    <w:rsid w:val="003053AA"/>
    <w:rsid w:val="00306745"/>
    <w:rsid w:val="003134F0"/>
    <w:rsid w:val="00331428"/>
    <w:rsid w:val="00337F96"/>
    <w:rsid w:val="00376B08"/>
    <w:rsid w:val="003775E9"/>
    <w:rsid w:val="003836CC"/>
    <w:rsid w:val="003D620A"/>
    <w:rsid w:val="003E4972"/>
    <w:rsid w:val="003F01CC"/>
    <w:rsid w:val="00406AF7"/>
    <w:rsid w:val="00411EC2"/>
    <w:rsid w:val="00454681"/>
    <w:rsid w:val="00454C24"/>
    <w:rsid w:val="004721F0"/>
    <w:rsid w:val="00472BD1"/>
    <w:rsid w:val="00473DFB"/>
    <w:rsid w:val="00492E2E"/>
    <w:rsid w:val="004B3FBA"/>
    <w:rsid w:val="004C47BE"/>
    <w:rsid w:val="004D47E8"/>
    <w:rsid w:val="004E43C6"/>
    <w:rsid w:val="004F1AF3"/>
    <w:rsid w:val="004F749A"/>
    <w:rsid w:val="005070E1"/>
    <w:rsid w:val="00511ADD"/>
    <w:rsid w:val="005201E7"/>
    <w:rsid w:val="005219C4"/>
    <w:rsid w:val="00523269"/>
    <w:rsid w:val="00523BA7"/>
    <w:rsid w:val="005270EE"/>
    <w:rsid w:val="005436BB"/>
    <w:rsid w:val="005476DA"/>
    <w:rsid w:val="005500F2"/>
    <w:rsid w:val="005603C6"/>
    <w:rsid w:val="00575E04"/>
    <w:rsid w:val="00581B43"/>
    <w:rsid w:val="0059273F"/>
    <w:rsid w:val="005939A0"/>
    <w:rsid w:val="005A4012"/>
    <w:rsid w:val="005B732C"/>
    <w:rsid w:val="005C64A0"/>
    <w:rsid w:val="005D24B5"/>
    <w:rsid w:val="005E2CED"/>
    <w:rsid w:val="005E399A"/>
    <w:rsid w:val="005F3AC3"/>
    <w:rsid w:val="0060128A"/>
    <w:rsid w:val="0060609E"/>
    <w:rsid w:val="00613EEE"/>
    <w:rsid w:val="006317CF"/>
    <w:rsid w:val="006461AC"/>
    <w:rsid w:val="00664BC1"/>
    <w:rsid w:val="0068199D"/>
    <w:rsid w:val="00684A25"/>
    <w:rsid w:val="006B2C22"/>
    <w:rsid w:val="006C69B7"/>
    <w:rsid w:val="006C6F8B"/>
    <w:rsid w:val="006D777B"/>
    <w:rsid w:val="006F116F"/>
    <w:rsid w:val="006F1CC5"/>
    <w:rsid w:val="006F58F6"/>
    <w:rsid w:val="00710B56"/>
    <w:rsid w:val="007121C5"/>
    <w:rsid w:val="007142FB"/>
    <w:rsid w:val="007336AF"/>
    <w:rsid w:val="00740B9F"/>
    <w:rsid w:val="00741FF4"/>
    <w:rsid w:val="00753B3C"/>
    <w:rsid w:val="00794603"/>
    <w:rsid w:val="007A1AC4"/>
    <w:rsid w:val="007D5EE2"/>
    <w:rsid w:val="007D612A"/>
    <w:rsid w:val="007E32C0"/>
    <w:rsid w:val="007E46A6"/>
    <w:rsid w:val="007F6C7A"/>
    <w:rsid w:val="00807313"/>
    <w:rsid w:val="008304B3"/>
    <w:rsid w:val="0083141E"/>
    <w:rsid w:val="00847402"/>
    <w:rsid w:val="008605CC"/>
    <w:rsid w:val="0086604C"/>
    <w:rsid w:val="00867DE2"/>
    <w:rsid w:val="008A0EE1"/>
    <w:rsid w:val="008D7083"/>
    <w:rsid w:val="008F0061"/>
    <w:rsid w:val="00923175"/>
    <w:rsid w:val="00936BC8"/>
    <w:rsid w:val="00940340"/>
    <w:rsid w:val="009541A3"/>
    <w:rsid w:val="009553C7"/>
    <w:rsid w:val="00962124"/>
    <w:rsid w:val="00977BD8"/>
    <w:rsid w:val="009A0E6F"/>
    <w:rsid w:val="009C4E42"/>
    <w:rsid w:val="009C5E88"/>
    <w:rsid w:val="009D0582"/>
    <w:rsid w:val="00A0091D"/>
    <w:rsid w:val="00A158C4"/>
    <w:rsid w:val="00A355EC"/>
    <w:rsid w:val="00A434E2"/>
    <w:rsid w:val="00A43D8C"/>
    <w:rsid w:val="00A52BC3"/>
    <w:rsid w:val="00A67550"/>
    <w:rsid w:val="00A83A81"/>
    <w:rsid w:val="00A92932"/>
    <w:rsid w:val="00AA7866"/>
    <w:rsid w:val="00AB60B3"/>
    <w:rsid w:val="00AD550D"/>
    <w:rsid w:val="00AD7BD3"/>
    <w:rsid w:val="00AE2B61"/>
    <w:rsid w:val="00AF37A1"/>
    <w:rsid w:val="00AF6CCF"/>
    <w:rsid w:val="00B002CD"/>
    <w:rsid w:val="00B055F7"/>
    <w:rsid w:val="00B13D87"/>
    <w:rsid w:val="00B36D55"/>
    <w:rsid w:val="00B62856"/>
    <w:rsid w:val="00B76C89"/>
    <w:rsid w:val="00B90CE8"/>
    <w:rsid w:val="00BB2DF2"/>
    <w:rsid w:val="00BF3A60"/>
    <w:rsid w:val="00C027B7"/>
    <w:rsid w:val="00C05DF1"/>
    <w:rsid w:val="00C2595F"/>
    <w:rsid w:val="00C47443"/>
    <w:rsid w:val="00C561F0"/>
    <w:rsid w:val="00C74E68"/>
    <w:rsid w:val="00C805F9"/>
    <w:rsid w:val="00C86B06"/>
    <w:rsid w:val="00CC42BC"/>
    <w:rsid w:val="00CD7967"/>
    <w:rsid w:val="00CE0D16"/>
    <w:rsid w:val="00CE18C3"/>
    <w:rsid w:val="00CE1D7E"/>
    <w:rsid w:val="00D0124A"/>
    <w:rsid w:val="00D1255C"/>
    <w:rsid w:val="00D222BA"/>
    <w:rsid w:val="00D300AC"/>
    <w:rsid w:val="00D35D73"/>
    <w:rsid w:val="00D361E6"/>
    <w:rsid w:val="00D36383"/>
    <w:rsid w:val="00D42F62"/>
    <w:rsid w:val="00D73B27"/>
    <w:rsid w:val="00D868BE"/>
    <w:rsid w:val="00D91309"/>
    <w:rsid w:val="00D94D0C"/>
    <w:rsid w:val="00DA2942"/>
    <w:rsid w:val="00DA430B"/>
    <w:rsid w:val="00DB05A8"/>
    <w:rsid w:val="00DB71BA"/>
    <w:rsid w:val="00DD240E"/>
    <w:rsid w:val="00DD41E9"/>
    <w:rsid w:val="00DD43E7"/>
    <w:rsid w:val="00DE166E"/>
    <w:rsid w:val="00DE7907"/>
    <w:rsid w:val="00DF7119"/>
    <w:rsid w:val="00E2643A"/>
    <w:rsid w:val="00E35862"/>
    <w:rsid w:val="00E5010B"/>
    <w:rsid w:val="00E51420"/>
    <w:rsid w:val="00E5752C"/>
    <w:rsid w:val="00E73759"/>
    <w:rsid w:val="00E73E2B"/>
    <w:rsid w:val="00EA1685"/>
    <w:rsid w:val="00EB3347"/>
    <w:rsid w:val="00EC344E"/>
    <w:rsid w:val="00ED787F"/>
    <w:rsid w:val="00F01329"/>
    <w:rsid w:val="00F0154C"/>
    <w:rsid w:val="00F23BC7"/>
    <w:rsid w:val="00F5082F"/>
    <w:rsid w:val="00F57DD5"/>
    <w:rsid w:val="00F6209F"/>
    <w:rsid w:val="00F70443"/>
    <w:rsid w:val="00F70779"/>
    <w:rsid w:val="00F80ACF"/>
    <w:rsid w:val="00F864B1"/>
    <w:rsid w:val="00F932A0"/>
    <w:rsid w:val="00FC68D9"/>
    <w:rsid w:val="00FD20B7"/>
    <w:rsid w:val="00FD53BB"/>
    <w:rsid w:val="00FE53C7"/>
    <w:rsid w:val="00FE7220"/>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FCEA95"/>
  <w15:chartTrackingRefBased/>
  <w15:docId w15:val="{D6FA2258-959C-447A-AD66-83601F38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E8"/>
    <w:pPr>
      <w:spacing w:after="0" w:line="240" w:lineRule="auto"/>
    </w:pPr>
    <w:rPr>
      <w:rFonts w:ascii="Times New Roman" w:eastAsia="Times New Roman" w:hAnsi="Times New Roman" w:cs="Times New Roman"/>
      <w:szCs w:val="20"/>
    </w:rPr>
  </w:style>
  <w:style w:type="paragraph" w:styleId="Heading1">
    <w:name w:val="heading 1"/>
    <w:aliases w:val="Part,H1"/>
    <w:next w:val="Heading1para"/>
    <w:link w:val="Heading1Char"/>
    <w:qFormat/>
    <w:rsid w:val="004D47E8"/>
    <w:pPr>
      <w:keepNext/>
      <w:numPr>
        <w:numId w:val="2"/>
      </w:numPr>
      <w:spacing w:before="240" w:after="60" w:line="240" w:lineRule="auto"/>
      <w:outlineLvl w:val="0"/>
    </w:pPr>
    <w:rPr>
      <w:rFonts w:ascii="Times New Roman" w:eastAsia="Times New Roman" w:hAnsi="Times New Roman" w:cs="Times New Roman"/>
      <w:b/>
      <w:noProof/>
      <w:kern w:val="28"/>
      <w:sz w:val="24"/>
      <w:szCs w:val="20"/>
    </w:rPr>
  </w:style>
  <w:style w:type="paragraph" w:styleId="Heading2">
    <w:name w:val="heading 2"/>
    <w:aliases w:val="h2"/>
    <w:link w:val="Heading2Char"/>
    <w:qFormat/>
    <w:rsid w:val="00B76C89"/>
    <w:pPr>
      <w:numPr>
        <w:ilvl w:val="1"/>
        <w:numId w:val="2"/>
      </w:numPr>
      <w:tabs>
        <w:tab w:val="left" w:pos="1620"/>
      </w:tabs>
      <w:spacing w:before="120" w:after="60" w:line="240" w:lineRule="auto"/>
      <w:outlineLvl w:val="1"/>
    </w:pPr>
    <w:rPr>
      <w:rFonts w:ascii="Times New Roman" w:eastAsia="Times New Roman" w:hAnsi="Times New Roman" w:cs="Times New Roman"/>
      <w:noProof/>
      <w:szCs w:val="20"/>
    </w:rPr>
  </w:style>
  <w:style w:type="paragraph" w:styleId="Heading3">
    <w:name w:val="heading 3"/>
    <w:basedOn w:val="Normal"/>
    <w:link w:val="Heading3Char"/>
    <w:autoRedefine/>
    <w:qFormat/>
    <w:rsid w:val="00753B3C"/>
    <w:pPr>
      <w:numPr>
        <w:numId w:val="3"/>
      </w:numPr>
      <w:spacing w:before="6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basedOn w:val="DefaultParagraphFont"/>
    <w:link w:val="Heading1"/>
    <w:rsid w:val="004D47E8"/>
    <w:rPr>
      <w:rFonts w:ascii="Times New Roman" w:eastAsia="Times New Roman" w:hAnsi="Times New Roman" w:cs="Times New Roman"/>
      <w:b/>
      <w:noProof/>
      <w:kern w:val="28"/>
      <w:sz w:val="24"/>
      <w:szCs w:val="20"/>
    </w:rPr>
  </w:style>
  <w:style w:type="character" w:customStyle="1" w:styleId="Heading2Char">
    <w:name w:val="Heading 2 Char"/>
    <w:aliases w:val="h2 Char"/>
    <w:basedOn w:val="DefaultParagraphFont"/>
    <w:link w:val="Heading2"/>
    <w:rsid w:val="00B76C89"/>
    <w:rPr>
      <w:rFonts w:ascii="Times New Roman" w:eastAsia="Times New Roman" w:hAnsi="Times New Roman" w:cs="Times New Roman"/>
      <w:noProof/>
      <w:szCs w:val="20"/>
    </w:rPr>
  </w:style>
  <w:style w:type="character" w:customStyle="1" w:styleId="Heading3Char">
    <w:name w:val="Heading 3 Char"/>
    <w:basedOn w:val="DefaultParagraphFont"/>
    <w:link w:val="Heading3"/>
    <w:rsid w:val="00753B3C"/>
    <w:rPr>
      <w:rFonts w:ascii="Times New Roman" w:eastAsia="Times New Roman" w:hAnsi="Times New Roman" w:cs="Times New Roman"/>
      <w:szCs w:val="20"/>
    </w:rPr>
  </w:style>
  <w:style w:type="paragraph" w:customStyle="1" w:styleId="Heading1para">
    <w:name w:val="Heading 1 para"/>
    <w:rsid w:val="004D47E8"/>
    <w:pPr>
      <w:spacing w:before="120" w:after="120" w:line="240" w:lineRule="auto"/>
      <w:ind w:left="720"/>
    </w:pPr>
    <w:rPr>
      <w:rFonts w:ascii="Times New Roman" w:eastAsia="Times New Roman" w:hAnsi="Times New Roman" w:cs="Times New Roman"/>
      <w:szCs w:val="20"/>
    </w:rPr>
  </w:style>
  <w:style w:type="paragraph" w:styleId="Footer">
    <w:name w:val="footer"/>
    <w:link w:val="FooterChar"/>
    <w:rsid w:val="004D47E8"/>
    <w:pPr>
      <w:tabs>
        <w:tab w:val="center" w:pos="4320"/>
        <w:tab w:val="right" w:pos="8640"/>
      </w:tabs>
      <w:spacing w:after="0" w:line="240" w:lineRule="auto"/>
    </w:pPr>
    <w:rPr>
      <w:rFonts w:ascii="Times New Roman" w:eastAsia="Times New Roman" w:hAnsi="Times New Roman" w:cs="Times New Roman"/>
      <w:noProof/>
      <w:sz w:val="20"/>
      <w:szCs w:val="20"/>
    </w:rPr>
  </w:style>
  <w:style w:type="character" w:customStyle="1" w:styleId="FooterChar">
    <w:name w:val="Footer Char"/>
    <w:basedOn w:val="DefaultParagraphFont"/>
    <w:link w:val="Footer"/>
    <w:rsid w:val="004D47E8"/>
    <w:rPr>
      <w:rFonts w:ascii="Times New Roman" w:eastAsia="Times New Roman" w:hAnsi="Times New Roman" w:cs="Times New Roman"/>
      <w:noProof/>
      <w:sz w:val="20"/>
      <w:szCs w:val="20"/>
    </w:rPr>
  </w:style>
  <w:style w:type="character" w:styleId="PageNumber">
    <w:name w:val="page number"/>
    <w:basedOn w:val="DefaultParagraphFont"/>
    <w:rsid w:val="004D47E8"/>
  </w:style>
  <w:style w:type="paragraph" w:styleId="Header">
    <w:name w:val="header"/>
    <w:basedOn w:val="Normal"/>
    <w:link w:val="HeaderChar"/>
    <w:rsid w:val="004D47E8"/>
    <w:pPr>
      <w:tabs>
        <w:tab w:val="center" w:pos="4320"/>
        <w:tab w:val="right" w:pos="8640"/>
      </w:tabs>
    </w:pPr>
  </w:style>
  <w:style w:type="character" w:customStyle="1" w:styleId="HeaderChar">
    <w:name w:val="Header Char"/>
    <w:basedOn w:val="DefaultParagraphFont"/>
    <w:link w:val="Header"/>
    <w:rsid w:val="004D47E8"/>
    <w:rPr>
      <w:rFonts w:ascii="Times New Roman" w:eastAsia="Times New Roman" w:hAnsi="Times New Roman" w:cs="Times New Roman"/>
      <w:szCs w:val="20"/>
    </w:rPr>
  </w:style>
  <w:style w:type="paragraph" w:customStyle="1" w:styleId="Normal-Left">
    <w:name w:val="Normal-Left"/>
    <w:basedOn w:val="Normal"/>
    <w:rsid w:val="004D47E8"/>
    <w:pPr>
      <w:spacing w:after="120"/>
    </w:pPr>
  </w:style>
  <w:style w:type="paragraph" w:styleId="Title">
    <w:name w:val="Title"/>
    <w:basedOn w:val="Normal"/>
    <w:link w:val="TitleChar"/>
    <w:qFormat/>
    <w:rsid w:val="004D47E8"/>
    <w:pPr>
      <w:spacing w:before="240" w:after="60"/>
      <w:ind w:left="720"/>
      <w:jc w:val="center"/>
    </w:pPr>
    <w:rPr>
      <w:b/>
      <w:kern w:val="28"/>
      <w:sz w:val="32"/>
    </w:rPr>
  </w:style>
  <w:style w:type="character" w:customStyle="1" w:styleId="TitleChar">
    <w:name w:val="Title Char"/>
    <w:basedOn w:val="DefaultParagraphFont"/>
    <w:link w:val="Title"/>
    <w:rsid w:val="004D47E8"/>
    <w:rPr>
      <w:rFonts w:ascii="Times New Roman" w:eastAsia="Times New Roman" w:hAnsi="Times New Roman" w:cs="Times New Roman"/>
      <w:b/>
      <w:kern w:val="28"/>
      <w:sz w:val="32"/>
      <w:szCs w:val="20"/>
    </w:rPr>
  </w:style>
  <w:style w:type="paragraph" w:styleId="CommentText">
    <w:name w:val="annotation text"/>
    <w:basedOn w:val="Normal"/>
    <w:link w:val="CommentTextChar"/>
    <w:uiPriority w:val="99"/>
    <w:rsid w:val="004D47E8"/>
    <w:rPr>
      <w:sz w:val="20"/>
    </w:rPr>
  </w:style>
  <w:style w:type="character" w:customStyle="1" w:styleId="CommentTextChar">
    <w:name w:val="Comment Text Char"/>
    <w:basedOn w:val="DefaultParagraphFont"/>
    <w:link w:val="CommentText"/>
    <w:uiPriority w:val="99"/>
    <w:rsid w:val="004D47E8"/>
    <w:rPr>
      <w:rFonts w:ascii="Times New Roman" w:eastAsia="Times New Roman" w:hAnsi="Times New Roman" w:cs="Times New Roman"/>
      <w:sz w:val="20"/>
      <w:szCs w:val="20"/>
    </w:rPr>
  </w:style>
  <w:style w:type="character" w:styleId="Hyperlink">
    <w:name w:val="Hyperlink"/>
    <w:basedOn w:val="DefaultParagraphFont"/>
    <w:uiPriority w:val="99"/>
    <w:rsid w:val="004D47E8"/>
    <w:rPr>
      <w:color w:val="0000FF"/>
      <w:u w:val="single"/>
    </w:rPr>
  </w:style>
  <w:style w:type="character" w:styleId="CommentReference">
    <w:name w:val="annotation reference"/>
    <w:basedOn w:val="DefaultParagraphFont"/>
    <w:uiPriority w:val="99"/>
    <w:semiHidden/>
    <w:rsid w:val="004D47E8"/>
    <w:rPr>
      <w:sz w:val="16"/>
    </w:rPr>
  </w:style>
  <w:style w:type="paragraph" w:styleId="BodyText">
    <w:name w:val="Body Text"/>
    <w:basedOn w:val="Normal"/>
    <w:link w:val="BodyTextChar"/>
    <w:rsid w:val="004D47E8"/>
    <w:pPr>
      <w:spacing w:after="120"/>
    </w:pPr>
  </w:style>
  <w:style w:type="character" w:customStyle="1" w:styleId="BodyTextChar">
    <w:name w:val="Body Text Char"/>
    <w:basedOn w:val="DefaultParagraphFont"/>
    <w:link w:val="BodyText"/>
    <w:rsid w:val="004D47E8"/>
    <w:rPr>
      <w:rFonts w:ascii="Times New Roman" w:eastAsia="Times New Roman" w:hAnsi="Times New Roman" w:cs="Times New Roman"/>
      <w:szCs w:val="20"/>
    </w:rPr>
  </w:style>
  <w:style w:type="paragraph" w:styleId="BlockText">
    <w:name w:val="Block Text"/>
    <w:basedOn w:val="Normal"/>
    <w:rsid w:val="004D47E8"/>
    <w:pPr>
      <w:ind w:left="1080" w:right="1350"/>
    </w:pPr>
    <w:rPr>
      <w:i/>
      <w:color w:val="FF0000"/>
      <w:sz w:val="24"/>
    </w:rPr>
  </w:style>
  <w:style w:type="paragraph" w:customStyle="1" w:styleId="Heading2Para">
    <w:name w:val="Heading 2 Para"/>
    <w:basedOn w:val="Normal"/>
    <w:link w:val="Heading2ParaChar2"/>
    <w:rsid w:val="004D47E8"/>
    <w:pPr>
      <w:spacing w:before="120"/>
      <w:ind w:left="1440" w:hanging="720"/>
    </w:pPr>
  </w:style>
  <w:style w:type="character" w:customStyle="1" w:styleId="Heading2ParaChar2">
    <w:name w:val="Heading 2 Para Char2"/>
    <w:basedOn w:val="DefaultParagraphFont"/>
    <w:link w:val="Heading2Para"/>
    <w:rsid w:val="004D47E8"/>
    <w:rPr>
      <w:rFonts w:ascii="Times New Roman" w:eastAsia="Times New Roman" w:hAnsi="Times New Roman" w:cs="Times New Roman"/>
      <w:szCs w:val="20"/>
    </w:rPr>
  </w:style>
  <w:style w:type="paragraph" w:styleId="ListParagraph">
    <w:name w:val="List Paragraph"/>
    <w:basedOn w:val="Normal"/>
    <w:uiPriority w:val="34"/>
    <w:qFormat/>
    <w:rsid w:val="004D47E8"/>
    <w:pPr>
      <w:ind w:left="720"/>
      <w:contextualSpacing/>
    </w:pPr>
  </w:style>
  <w:style w:type="table" w:styleId="TableGrid">
    <w:name w:val="Table Grid"/>
    <w:basedOn w:val="TableNormal"/>
    <w:uiPriority w:val="59"/>
    <w:rsid w:val="004D47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E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C6F8B"/>
    <w:rPr>
      <w:b/>
      <w:bCs/>
    </w:rPr>
  </w:style>
  <w:style w:type="character" w:customStyle="1" w:styleId="CommentSubjectChar">
    <w:name w:val="Comment Subject Char"/>
    <w:basedOn w:val="CommentTextChar"/>
    <w:link w:val="CommentSubject"/>
    <w:uiPriority w:val="99"/>
    <w:semiHidden/>
    <w:rsid w:val="006C6F8B"/>
    <w:rPr>
      <w:rFonts w:ascii="Times New Roman" w:eastAsia="Times New Roman" w:hAnsi="Times New Roman" w:cs="Times New Roman"/>
      <w:b/>
      <w:bCs/>
      <w:sz w:val="20"/>
      <w:szCs w:val="20"/>
    </w:rPr>
  </w:style>
  <w:style w:type="paragraph" w:customStyle="1" w:styleId="bulletlist">
    <w:name w:val="bullet list"/>
    <w:basedOn w:val="Normal"/>
    <w:semiHidden/>
    <w:rsid w:val="0083141E"/>
    <w:pPr>
      <w:numPr>
        <w:ilvl w:val="1"/>
        <w:numId w:val="4"/>
      </w:numPr>
    </w:pPr>
    <w:rPr>
      <w:sz w:val="24"/>
    </w:rPr>
  </w:style>
  <w:style w:type="paragraph" w:styleId="Revision">
    <w:name w:val="Revision"/>
    <w:hidden/>
    <w:uiPriority w:val="99"/>
    <w:semiHidden/>
    <w:rsid w:val="00F864B1"/>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0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CDF4-DB21-4BA9-8209-20CC714F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3460</Words>
  <Characters>21214</Characters>
  <Application>Microsoft Office Word</Application>
  <DocSecurity>0</DocSecurity>
  <Lines>1928</Lines>
  <Paragraphs>465</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Quimby, Mark (WaTech)</dc:creator>
  <cp:keywords/>
  <dc:description/>
  <cp:lastModifiedBy>Steele, Susan (WaTech)</cp:lastModifiedBy>
  <cp:revision>2</cp:revision>
  <cp:lastPrinted>2019-06-06T14:34:00Z</cp:lastPrinted>
  <dcterms:created xsi:type="dcterms:W3CDTF">2024-12-11T18:46:00Z</dcterms:created>
  <dcterms:modified xsi:type="dcterms:W3CDTF">2024-12-11T18:46:00Z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2021-10-20T20:29:47Z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1e4d169e-6d07-4989-aa54-d6e01c6bbac7</vt:lpwstr>
  </property>
  <property fmtid="{D5CDD505-2E9C-101B-9397-08002B2CF9AE}" pid="8" name="MSIP_Label_1520fa42-cf58-4c22-8b93-58cf1d3bd1cb_ContentBits">
    <vt:lpwstr>0</vt:lpwstr>
  </property>
</Properties>
</file>