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0DD1F" w14:textId="663D1557" w:rsidR="00374063" w:rsidRDefault="00AE3A6C" w:rsidP="009573AE">
      <w:pPr>
        <w:jc w:val="center"/>
        <w:rPr>
          <w:b/>
          <w:sz w:val="36"/>
          <w:szCs w:val="28"/>
        </w:rPr>
      </w:pPr>
      <w:bookmarkStart w:id="0" w:name="_Toc478573230"/>
      <w:r>
        <w:rPr>
          <w:b/>
          <w:sz w:val="36"/>
          <w:szCs w:val="28"/>
        </w:rPr>
        <w:t>Network</w:t>
      </w:r>
      <w:r w:rsidR="00374063">
        <w:rPr>
          <w:b/>
          <w:sz w:val="36"/>
          <w:szCs w:val="28"/>
        </w:rPr>
        <w:t xml:space="preserve"> Services Agreement </w:t>
      </w:r>
      <w:r w:rsidR="00061E6E">
        <w:rPr>
          <w:b/>
          <w:sz w:val="36"/>
          <w:szCs w:val="28"/>
        </w:rPr>
        <w:t>25</w:t>
      </w:r>
      <w:r w:rsidR="007B0DC6">
        <w:rPr>
          <w:b/>
          <w:sz w:val="36"/>
          <w:szCs w:val="28"/>
        </w:rPr>
        <w:t>-XXX</w:t>
      </w:r>
    </w:p>
    <w:p w14:paraId="024FC87B" w14:textId="77777777" w:rsidR="00212435" w:rsidRDefault="00374063" w:rsidP="001F4FD3">
      <w:pPr>
        <w:jc w:val="center"/>
        <w:rPr>
          <w:b/>
          <w:sz w:val="36"/>
          <w:szCs w:val="28"/>
        </w:rPr>
      </w:pPr>
      <w:r>
        <w:rPr>
          <w:b/>
          <w:sz w:val="36"/>
          <w:szCs w:val="28"/>
        </w:rPr>
        <w:t xml:space="preserve">Addendum </w:t>
      </w:r>
      <w:r w:rsidR="00422A3F">
        <w:rPr>
          <w:b/>
          <w:sz w:val="36"/>
          <w:szCs w:val="28"/>
        </w:rPr>
        <w:t xml:space="preserve">05 </w:t>
      </w:r>
      <w:r>
        <w:rPr>
          <w:b/>
          <w:sz w:val="36"/>
          <w:szCs w:val="28"/>
        </w:rPr>
        <w:t>-</w:t>
      </w:r>
      <w:r w:rsidR="00422A3F">
        <w:rPr>
          <w:b/>
          <w:sz w:val="36"/>
          <w:szCs w:val="28"/>
        </w:rPr>
        <w:t xml:space="preserve"> </w:t>
      </w:r>
      <w:r w:rsidR="00B30EC1" w:rsidRPr="00422A3F">
        <w:rPr>
          <w:b/>
          <w:sz w:val="32"/>
          <w:szCs w:val="32"/>
        </w:rPr>
        <w:t>Data T</w:t>
      </w:r>
      <w:r w:rsidR="00422A3F" w:rsidRPr="00422A3F">
        <w:rPr>
          <w:b/>
          <w:sz w:val="32"/>
          <w:szCs w:val="32"/>
        </w:rPr>
        <w:t>ime Division Multiplexing (</w:t>
      </w:r>
      <w:r w:rsidR="00422A3F">
        <w:rPr>
          <w:b/>
          <w:sz w:val="32"/>
          <w:szCs w:val="32"/>
        </w:rPr>
        <w:t>“</w:t>
      </w:r>
      <w:r w:rsidR="00422A3F" w:rsidRPr="00422A3F">
        <w:rPr>
          <w:b/>
          <w:sz w:val="32"/>
          <w:szCs w:val="32"/>
        </w:rPr>
        <w:t>TDM</w:t>
      </w:r>
      <w:r w:rsidR="00422A3F">
        <w:rPr>
          <w:b/>
          <w:sz w:val="32"/>
          <w:szCs w:val="32"/>
        </w:rPr>
        <w:t>”</w:t>
      </w:r>
      <w:r w:rsidR="00422A3F" w:rsidRPr="00422A3F">
        <w:rPr>
          <w:b/>
          <w:sz w:val="32"/>
          <w:szCs w:val="32"/>
        </w:rPr>
        <w:t>) Services</w:t>
      </w:r>
      <w:r w:rsidR="009573AE" w:rsidRPr="00095B83">
        <w:rPr>
          <w:b/>
          <w:sz w:val="36"/>
          <w:szCs w:val="28"/>
        </w:rPr>
        <w:t xml:space="preserve"> </w:t>
      </w:r>
    </w:p>
    <w:p w14:paraId="49CABE78" w14:textId="77777777" w:rsidR="00422A3F" w:rsidRPr="00095B83" w:rsidRDefault="00422A3F" w:rsidP="001F4FD3">
      <w:pPr>
        <w:jc w:val="center"/>
        <w:rPr>
          <w:b/>
          <w:sz w:val="24"/>
          <w:szCs w:val="24"/>
          <w:u w:val="single"/>
        </w:rPr>
      </w:pPr>
    </w:p>
    <w:p w14:paraId="01F9ECBF" w14:textId="5693A53B" w:rsidR="00212435" w:rsidRPr="00095B83" w:rsidRDefault="009573AE" w:rsidP="00212435">
      <w:pPr>
        <w:pStyle w:val="Heading1para"/>
        <w:ind w:left="0"/>
        <w:rPr>
          <w:sz w:val="24"/>
          <w:szCs w:val="24"/>
        </w:rPr>
      </w:pPr>
      <w:r w:rsidRPr="00095B83">
        <w:rPr>
          <w:sz w:val="24"/>
          <w:szCs w:val="24"/>
        </w:rPr>
        <w:t xml:space="preserve">This Addendum sets forth the terms governing all </w:t>
      </w:r>
      <w:r w:rsidR="00B30EC1" w:rsidRPr="00095B83">
        <w:rPr>
          <w:sz w:val="24"/>
          <w:szCs w:val="24"/>
        </w:rPr>
        <w:t xml:space="preserve">Data </w:t>
      </w:r>
      <w:r w:rsidR="00422A3F">
        <w:rPr>
          <w:sz w:val="24"/>
          <w:szCs w:val="24"/>
        </w:rPr>
        <w:t>Time Division Multiplexing (“</w:t>
      </w:r>
      <w:r w:rsidR="00B30EC1" w:rsidRPr="00095B83">
        <w:rPr>
          <w:sz w:val="24"/>
          <w:szCs w:val="24"/>
        </w:rPr>
        <w:t>TDM</w:t>
      </w:r>
      <w:r w:rsidR="00422A3F">
        <w:rPr>
          <w:sz w:val="24"/>
          <w:szCs w:val="24"/>
        </w:rPr>
        <w:t>”)</w:t>
      </w:r>
      <w:r w:rsidR="00212435" w:rsidRPr="00095B83">
        <w:rPr>
          <w:sz w:val="24"/>
          <w:szCs w:val="24"/>
        </w:rPr>
        <w:t xml:space="preserve"> </w:t>
      </w:r>
      <w:r w:rsidR="00422A3F">
        <w:rPr>
          <w:sz w:val="24"/>
          <w:szCs w:val="24"/>
        </w:rPr>
        <w:t>S</w:t>
      </w:r>
      <w:r w:rsidRPr="00095B83">
        <w:rPr>
          <w:sz w:val="24"/>
          <w:szCs w:val="24"/>
        </w:rPr>
        <w:t xml:space="preserve">ervices provided pursuant to an awarded Statement of Work (SOW). The Contractor represents that the Services provided under such SOW shall be performed consistent with the following terms. This Addendum incorporates by reference the </w:t>
      </w:r>
      <w:r w:rsidR="00AE3A6C">
        <w:rPr>
          <w:sz w:val="24"/>
          <w:szCs w:val="24"/>
        </w:rPr>
        <w:t>Network</w:t>
      </w:r>
      <w:r w:rsidRPr="00095B83">
        <w:rPr>
          <w:sz w:val="24"/>
          <w:szCs w:val="24"/>
        </w:rPr>
        <w:t xml:space="preserve"> Service Agreement.</w:t>
      </w:r>
      <w:bookmarkStart w:id="1" w:name="_Toc467155053"/>
      <w:bookmarkStart w:id="2" w:name="_Toc477777612"/>
    </w:p>
    <w:p w14:paraId="6BFC1C1F" w14:textId="77777777" w:rsidR="00212435" w:rsidRPr="00095B83" w:rsidRDefault="00212435" w:rsidP="00624326">
      <w:pPr>
        <w:pStyle w:val="Heading1"/>
        <w:numPr>
          <w:ilvl w:val="0"/>
          <w:numId w:val="14"/>
        </w:numPr>
      </w:pPr>
      <w:bookmarkStart w:id="3" w:name="_Toc478573229"/>
      <w:r w:rsidRPr="00095B83">
        <w:t>Definition of Terms</w:t>
      </w:r>
      <w:bookmarkEnd w:id="3"/>
    </w:p>
    <w:bookmarkEnd w:id="1"/>
    <w:bookmarkEnd w:id="2"/>
    <w:p w14:paraId="41CFCF12" w14:textId="77777777" w:rsidR="00180775" w:rsidRPr="00A87C30" w:rsidRDefault="00A87C30" w:rsidP="00180775">
      <w:pPr>
        <w:autoSpaceDE w:val="0"/>
        <w:autoSpaceDN w:val="0"/>
        <w:adjustRightInd w:val="0"/>
        <w:rPr>
          <w:rFonts w:eastAsiaTheme="minorHAnsi"/>
          <w:b/>
          <w:szCs w:val="22"/>
        </w:rPr>
      </w:pPr>
      <w:r>
        <w:rPr>
          <w:rFonts w:eastAsiaTheme="minorHAnsi"/>
          <w:b/>
          <w:szCs w:val="22"/>
        </w:rPr>
        <w:t>“</w:t>
      </w:r>
      <w:r w:rsidR="00180775" w:rsidRPr="00095B83">
        <w:rPr>
          <w:rFonts w:eastAsiaTheme="minorHAnsi"/>
          <w:b/>
          <w:szCs w:val="22"/>
        </w:rPr>
        <w:t>Account</w:t>
      </w:r>
      <w:r>
        <w:rPr>
          <w:rFonts w:eastAsiaTheme="minorHAnsi"/>
          <w:b/>
          <w:szCs w:val="22"/>
        </w:rPr>
        <w:t>”</w:t>
      </w:r>
      <w:r w:rsidR="00180775" w:rsidRPr="00095B83">
        <w:rPr>
          <w:rFonts w:eastAsiaTheme="minorHAnsi"/>
          <w:b/>
          <w:szCs w:val="22"/>
        </w:rPr>
        <w:t xml:space="preserve"> </w:t>
      </w:r>
      <w:r w:rsidR="00180775" w:rsidRPr="00095B83">
        <w:rPr>
          <w:rFonts w:eastAsiaTheme="minorHAnsi"/>
          <w:szCs w:val="22"/>
        </w:rPr>
        <w:t xml:space="preserve">The term </w:t>
      </w:r>
      <w:r>
        <w:rPr>
          <w:rFonts w:eastAsiaTheme="minorHAnsi"/>
          <w:szCs w:val="22"/>
        </w:rPr>
        <w:t>“</w:t>
      </w:r>
      <w:r w:rsidR="00180775" w:rsidRPr="00095B83">
        <w:rPr>
          <w:rFonts w:eastAsiaTheme="minorHAnsi"/>
          <w:szCs w:val="22"/>
        </w:rPr>
        <w:t>Account</w:t>
      </w:r>
      <w:r>
        <w:rPr>
          <w:rFonts w:eastAsiaTheme="minorHAnsi"/>
          <w:szCs w:val="22"/>
        </w:rPr>
        <w:t>”</w:t>
      </w:r>
      <w:r w:rsidR="00180775" w:rsidRPr="00095B83">
        <w:rPr>
          <w:rFonts w:eastAsiaTheme="minorHAnsi"/>
          <w:szCs w:val="22"/>
        </w:rPr>
        <w:t xml:space="preserve"> denotes the set of billing information for a customer. Each</w:t>
      </w:r>
      <w:r w:rsidR="00180775" w:rsidRPr="00095B83">
        <w:rPr>
          <w:rFonts w:eastAsiaTheme="minorHAnsi"/>
          <w:b/>
          <w:szCs w:val="22"/>
        </w:rPr>
        <w:t xml:space="preserve"> </w:t>
      </w:r>
      <w:r w:rsidR="00180775" w:rsidRPr="00095B83">
        <w:rPr>
          <w:rFonts w:eastAsiaTheme="minorHAnsi"/>
          <w:szCs w:val="22"/>
        </w:rPr>
        <w:t>account is uniquely identified by the billing account number (BAN) located on either</w:t>
      </w:r>
      <w:r w:rsidR="00180775" w:rsidRPr="00095B83">
        <w:rPr>
          <w:rFonts w:eastAsiaTheme="minorHAnsi"/>
          <w:b/>
          <w:szCs w:val="22"/>
        </w:rPr>
        <w:t xml:space="preserve"> </w:t>
      </w:r>
      <w:r w:rsidR="00180775" w:rsidRPr="00095B83">
        <w:rPr>
          <w:rFonts w:eastAsiaTheme="minorHAnsi"/>
          <w:szCs w:val="22"/>
        </w:rPr>
        <w:t>the customer's bill or service record.</w:t>
      </w:r>
    </w:p>
    <w:p w14:paraId="5C47AF0B" w14:textId="77777777" w:rsidR="00285E1A" w:rsidRDefault="00285E1A" w:rsidP="00A87C30">
      <w:pPr>
        <w:pStyle w:val="Heading1para"/>
        <w:ind w:left="0"/>
      </w:pPr>
      <w:r>
        <w:rPr>
          <w:szCs w:val="22"/>
        </w:rPr>
        <w:t>“</w:t>
      </w:r>
      <w:r w:rsidRPr="00285E1A">
        <w:rPr>
          <w:b/>
        </w:rPr>
        <w:t>Billing Telephone Number</w:t>
      </w:r>
      <w:r>
        <w:t xml:space="preserve">” </w:t>
      </w:r>
      <w:r w:rsidR="000D7DFF">
        <w:t xml:space="preserve">(BTN) </w:t>
      </w:r>
      <w:r>
        <w:t>shall mean</w:t>
      </w:r>
      <w:r w:rsidR="000D7DFF">
        <w:t xml:space="preserve"> a unique summary number to which all customer telephone numbers or circuits are charged, instead of showing charges individually under each customer telephone number or circuit identifier. </w:t>
      </w:r>
    </w:p>
    <w:p w14:paraId="45131A1A" w14:textId="77777777" w:rsidR="00553103" w:rsidRPr="00A87C30" w:rsidRDefault="00285E1A" w:rsidP="00A87C30">
      <w:pPr>
        <w:pStyle w:val="Heading1para"/>
        <w:ind w:left="0"/>
        <w:rPr>
          <w:szCs w:val="22"/>
        </w:rPr>
      </w:pPr>
      <w:r>
        <w:rPr>
          <w:szCs w:val="22"/>
        </w:rPr>
        <w:t xml:space="preserve"> </w:t>
      </w:r>
      <w:r w:rsidR="00A87C30">
        <w:rPr>
          <w:szCs w:val="22"/>
        </w:rPr>
        <w:t>“</w:t>
      </w:r>
      <w:r w:rsidR="00180775" w:rsidRPr="00A87C30">
        <w:rPr>
          <w:b/>
          <w:szCs w:val="22"/>
        </w:rPr>
        <w:t>Carrier or Common Carrier</w:t>
      </w:r>
      <w:r w:rsidR="00A87C30">
        <w:rPr>
          <w:szCs w:val="22"/>
        </w:rPr>
        <w:t>”</w:t>
      </w:r>
      <w:r w:rsidR="00180775" w:rsidRPr="00A87C30">
        <w:rPr>
          <w:szCs w:val="22"/>
        </w:rPr>
        <w:t xml:space="preserve"> See Interexchange Carrier.</w:t>
      </w:r>
    </w:p>
    <w:p w14:paraId="08DD40E0" w14:textId="77777777" w:rsidR="00553103" w:rsidRPr="00A87C30" w:rsidRDefault="00A87C30" w:rsidP="00A87C30">
      <w:pPr>
        <w:pStyle w:val="Heading1para"/>
        <w:ind w:left="0"/>
        <w:rPr>
          <w:szCs w:val="22"/>
        </w:rPr>
      </w:pPr>
      <w:r>
        <w:rPr>
          <w:szCs w:val="22"/>
        </w:rPr>
        <w:t>“</w:t>
      </w:r>
      <w:r w:rsidR="00180775" w:rsidRPr="00A87C30">
        <w:rPr>
          <w:b/>
          <w:szCs w:val="22"/>
        </w:rPr>
        <w:t>Central Office</w:t>
      </w:r>
      <w:r>
        <w:rPr>
          <w:szCs w:val="22"/>
        </w:rPr>
        <w:t>”</w:t>
      </w:r>
      <w:r w:rsidR="00180775" w:rsidRPr="00A87C30">
        <w:rPr>
          <w:szCs w:val="22"/>
        </w:rPr>
        <w:t xml:space="preserve"> </w:t>
      </w:r>
      <w:r>
        <w:rPr>
          <w:szCs w:val="22"/>
        </w:rPr>
        <w:t>shall mean</w:t>
      </w:r>
      <w:r w:rsidRPr="00A87C30">
        <w:rPr>
          <w:szCs w:val="22"/>
        </w:rPr>
        <w:t xml:space="preserve"> </w:t>
      </w:r>
      <w:r w:rsidR="00180775" w:rsidRPr="00A87C30">
        <w:rPr>
          <w:szCs w:val="22"/>
        </w:rPr>
        <w:t>a local Telephone Company switching system where Telephone Exchange Service customer station loops are terminated for purposes of interconnection to each other and to trunks.</w:t>
      </w:r>
    </w:p>
    <w:p w14:paraId="2B0E744B" w14:textId="77777777" w:rsidR="00553103" w:rsidRPr="00A87C30" w:rsidRDefault="00A87C30" w:rsidP="00A87C30">
      <w:pPr>
        <w:pStyle w:val="Heading1para"/>
        <w:ind w:left="0"/>
        <w:rPr>
          <w:szCs w:val="22"/>
        </w:rPr>
      </w:pPr>
      <w:r>
        <w:rPr>
          <w:szCs w:val="22"/>
        </w:rPr>
        <w:t>“</w:t>
      </w:r>
      <w:r w:rsidR="00180775" w:rsidRPr="00A87C30">
        <w:rPr>
          <w:b/>
          <w:szCs w:val="22"/>
        </w:rPr>
        <w:t>Channel(s)</w:t>
      </w:r>
      <w:r>
        <w:rPr>
          <w:b/>
          <w:szCs w:val="22"/>
        </w:rPr>
        <w:t>”</w:t>
      </w:r>
      <w:r w:rsidR="00180775" w:rsidRPr="00A87C30">
        <w:rPr>
          <w:szCs w:val="22"/>
        </w:rPr>
        <w:t xml:space="preserve"> </w:t>
      </w:r>
      <w:r>
        <w:rPr>
          <w:szCs w:val="22"/>
        </w:rPr>
        <w:t>shall mean</w:t>
      </w:r>
      <w:r w:rsidRPr="00A87C30">
        <w:rPr>
          <w:szCs w:val="22"/>
        </w:rPr>
        <w:t xml:space="preserve"> </w:t>
      </w:r>
      <w:r w:rsidR="00180775" w:rsidRPr="00A87C30">
        <w:rPr>
          <w:szCs w:val="22"/>
        </w:rPr>
        <w:t>an electrical or photonic, in the case of fiber optic based transmission systems, communications path between two or more points of termination.</w:t>
      </w:r>
    </w:p>
    <w:p w14:paraId="64902D72" w14:textId="77777777" w:rsidR="00180775" w:rsidRPr="00A87C30" w:rsidRDefault="00A87C30" w:rsidP="00180775">
      <w:pPr>
        <w:pStyle w:val="Heading1para"/>
        <w:ind w:left="0"/>
        <w:rPr>
          <w:szCs w:val="22"/>
        </w:rPr>
      </w:pPr>
      <w:r>
        <w:rPr>
          <w:szCs w:val="22"/>
        </w:rPr>
        <w:t>“</w:t>
      </w:r>
      <w:r w:rsidR="00180775" w:rsidRPr="00A87C30">
        <w:rPr>
          <w:b/>
          <w:szCs w:val="22"/>
        </w:rPr>
        <w:t>Copper</w:t>
      </w:r>
      <w:r>
        <w:rPr>
          <w:szCs w:val="22"/>
        </w:rPr>
        <w:t>”</w:t>
      </w:r>
      <w:r w:rsidR="00180775" w:rsidRPr="00A87C30">
        <w:rPr>
          <w:szCs w:val="22"/>
        </w:rPr>
        <w:t xml:space="preserve"> shall mean an Ethernet handoff, via RJ-48 connector</w:t>
      </w:r>
      <w:r>
        <w:rPr>
          <w:szCs w:val="22"/>
        </w:rPr>
        <w:t>.</w:t>
      </w:r>
    </w:p>
    <w:p w14:paraId="0A2C6434" w14:textId="77777777" w:rsidR="00553103" w:rsidRPr="00A87C30" w:rsidRDefault="00A87C30" w:rsidP="00A87C30">
      <w:pPr>
        <w:pStyle w:val="Heading1para"/>
        <w:ind w:left="0"/>
        <w:rPr>
          <w:szCs w:val="22"/>
        </w:rPr>
      </w:pPr>
      <w:r>
        <w:rPr>
          <w:szCs w:val="22"/>
        </w:rPr>
        <w:t>“</w:t>
      </w:r>
      <w:r w:rsidR="00180775" w:rsidRPr="00A87C30">
        <w:rPr>
          <w:b/>
          <w:szCs w:val="22"/>
        </w:rPr>
        <w:t>DS-1</w:t>
      </w:r>
      <w:r>
        <w:rPr>
          <w:szCs w:val="22"/>
        </w:rPr>
        <w:t>”</w:t>
      </w:r>
      <w:r w:rsidR="00180775" w:rsidRPr="00A87C30">
        <w:rPr>
          <w:szCs w:val="22"/>
        </w:rPr>
        <w:t xml:space="preserve"> The term </w:t>
      </w:r>
      <w:r>
        <w:rPr>
          <w:szCs w:val="22"/>
        </w:rPr>
        <w:t>“</w:t>
      </w:r>
      <w:r w:rsidR="00180775" w:rsidRPr="00A87C30">
        <w:rPr>
          <w:szCs w:val="22"/>
        </w:rPr>
        <w:t>DS-1</w:t>
      </w:r>
      <w:r>
        <w:rPr>
          <w:szCs w:val="22"/>
        </w:rPr>
        <w:t>”</w:t>
      </w:r>
      <w:r w:rsidR="00180775" w:rsidRPr="00A87C30">
        <w:rPr>
          <w:szCs w:val="22"/>
        </w:rPr>
        <w:t xml:space="preserve"> Service is a point to point high-capacity Private Line digital transport service (PLTS) that provides transmission of isochronous serial data at 1.544 MBPS and has the capacity of 24 voice equivalent channels. Because the transmission is digital, the signal is clean and free of cross talk, amplified noise and distortion. DS-1 Service channels are provided between customer-designated premises or between a customer-designated premises and a </w:t>
      </w:r>
      <w:r w:rsidR="000F21B7">
        <w:rPr>
          <w:szCs w:val="22"/>
        </w:rPr>
        <w:t>C</w:t>
      </w:r>
      <w:r w:rsidR="000F21B7" w:rsidRPr="00A87C30">
        <w:rPr>
          <w:szCs w:val="22"/>
        </w:rPr>
        <w:t xml:space="preserve">arrier’s </w:t>
      </w:r>
      <w:r w:rsidR="00180775" w:rsidRPr="00A87C30">
        <w:rPr>
          <w:szCs w:val="22"/>
        </w:rPr>
        <w:t>central office.  DS-1 Service may be provisioned on copper, fiber and in some instances, microwave radio. In some high-density cities, DS-1 Service is provisioned on a synchronous optical network (SONET)-based interoffice network that connects key serving wire centers.</w:t>
      </w:r>
    </w:p>
    <w:p w14:paraId="640CE70B" w14:textId="77777777" w:rsidR="00180775" w:rsidRPr="00A87C30" w:rsidRDefault="00A87C30" w:rsidP="00A87C30">
      <w:pPr>
        <w:pStyle w:val="Heading1para"/>
        <w:ind w:left="0"/>
        <w:rPr>
          <w:szCs w:val="22"/>
        </w:rPr>
      </w:pPr>
      <w:r>
        <w:rPr>
          <w:szCs w:val="22"/>
        </w:rPr>
        <w:t>“</w:t>
      </w:r>
      <w:r w:rsidR="00180775" w:rsidRPr="00A87C30">
        <w:rPr>
          <w:b/>
          <w:szCs w:val="22"/>
        </w:rPr>
        <w:t>DS-3</w:t>
      </w:r>
      <w:r>
        <w:rPr>
          <w:szCs w:val="22"/>
        </w:rPr>
        <w:t>”</w:t>
      </w:r>
      <w:r w:rsidR="00180775" w:rsidRPr="00A87C30">
        <w:rPr>
          <w:szCs w:val="22"/>
        </w:rPr>
        <w:t xml:space="preserve"> The term </w:t>
      </w:r>
      <w:r>
        <w:rPr>
          <w:szCs w:val="22"/>
        </w:rPr>
        <w:t>“</w:t>
      </w:r>
      <w:r w:rsidR="00180775" w:rsidRPr="00A87C30">
        <w:rPr>
          <w:szCs w:val="22"/>
        </w:rPr>
        <w:t>DS-3</w:t>
      </w:r>
      <w:r>
        <w:rPr>
          <w:szCs w:val="22"/>
        </w:rPr>
        <w:t>”</w:t>
      </w:r>
      <w:r w:rsidR="00180775" w:rsidRPr="00A87C30">
        <w:rPr>
          <w:szCs w:val="22"/>
        </w:rPr>
        <w:t xml:space="preserve"> service consists of a </w:t>
      </w:r>
      <w:proofErr w:type="gramStart"/>
      <w:r w:rsidR="00180775" w:rsidRPr="00A87C30">
        <w:rPr>
          <w:szCs w:val="22"/>
        </w:rPr>
        <w:t>high capacity</w:t>
      </w:r>
      <w:proofErr w:type="gramEnd"/>
      <w:r w:rsidR="00180775" w:rsidRPr="00A87C30">
        <w:rPr>
          <w:szCs w:val="22"/>
        </w:rPr>
        <w:t xml:space="preserve"> channel provisioned for transmission speeds of 44.736 Mbps isochronous serial data, the equivalent of 28 DS-1s. This service is used to transport large amounts of data between locations and have the flexibility to configure communications services economically, such as the aggregation of lower speed services, e.g., DS-1 (1.544Mbps) that support multiple data, video and voice applications, onto a </w:t>
      </w:r>
      <w:proofErr w:type="gramStart"/>
      <w:r w:rsidR="00180775" w:rsidRPr="00A87C30">
        <w:rPr>
          <w:szCs w:val="22"/>
        </w:rPr>
        <w:t>high speed</w:t>
      </w:r>
      <w:proofErr w:type="gramEnd"/>
      <w:r w:rsidR="00180775" w:rsidRPr="00A87C30">
        <w:rPr>
          <w:szCs w:val="22"/>
        </w:rPr>
        <w:t xml:space="preserve"> digital backbone. </w:t>
      </w:r>
    </w:p>
    <w:p w14:paraId="5E088E20" w14:textId="77777777" w:rsidR="00180775" w:rsidRPr="00A87C30" w:rsidRDefault="00A87C30" w:rsidP="00180775">
      <w:pPr>
        <w:pStyle w:val="Heading1para"/>
        <w:ind w:left="0"/>
        <w:rPr>
          <w:szCs w:val="22"/>
        </w:rPr>
      </w:pPr>
      <w:r>
        <w:rPr>
          <w:szCs w:val="22"/>
        </w:rPr>
        <w:t>“</w:t>
      </w:r>
      <w:r w:rsidR="00180775" w:rsidRPr="00A87C30">
        <w:rPr>
          <w:b/>
          <w:szCs w:val="22"/>
        </w:rPr>
        <w:t>Electrical</w:t>
      </w:r>
      <w:r>
        <w:rPr>
          <w:szCs w:val="22"/>
        </w:rPr>
        <w:t>”</w:t>
      </w:r>
      <w:r w:rsidR="00180775" w:rsidRPr="00A87C30">
        <w:rPr>
          <w:szCs w:val="22"/>
        </w:rPr>
        <w:t xml:space="preserve"> shall mean an Ethernet handoff, via RJ-48 connector.</w:t>
      </w:r>
    </w:p>
    <w:p w14:paraId="09414881" w14:textId="77777777" w:rsidR="00180775" w:rsidRPr="00A87C30" w:rsidRDefault="00A87C30" w:rsidP="00A87C30">
      <w:pPr>
        <w:pStyle w:val="Heading1para"/>
        <w:ind w:left="0"/>
        <w:rPr>
          <w:szCs w:val="22"/>
        </w:rPr>
      </w:pPr>
      <w:r>
        <w:rPr>
          <w:szCs w:val="22"/>
        </w:rPr>
        <w:t>“</w:t>
      </w:r>
      <w:r w:rsidR="00180775" w:rsidRPr="00A87C30">
        <w:rPr>
          <w:b/>
          <w:szCs w:val="22"/>
        </w:rPr>
        <w:t>Exchange</w:t>
      </w:r>
      <w:r>
        <w:rPr>
          <w:szCs w:val="22"/>
        </w:rPr>
        <w:t>”</w:t>
      </w:r>
      <w:r w:rsidR="00180775" w:rsidRPr="00A87C30">
        <w:rPr>
          <w:szCs w:val="22"/>
        </w:rPr>
        <w:t xml:space="preserve"> </w:t>
      </w:r>
      <w:r>
        <w:rPr>
          <w:szCs w:val="22"/>
        </w:rPr>
        <w:t>shall mean</w:t>
      </w:r>
      <w:r w:rsidRPr="00A87C30">
        <w:rPr>
          <w:szCs w:val="22"/>
        </w:rPr>
        <w:t xml:space="preserve"> </w:t>
      </w:r>
      <w:r w:rsidR="00180775" w:rsidRPr="00A87C30">
        <w:rPr>
          <w:szCs w:val="22"/>
        </w:rPr>
        <w:t>a unit generally smaller than a local access and transport area, established by the Telephone Company for the administration of communications service in a specified area which usually embraces a city, town or village and its environs. It consists of one or more central offices together with the associated facilities used in furnishing communications service within that area. The exchange includes any Extended Area Service area that is an enlargement of a Telephone Company's exchange area to include nearby exchanges.  One or more designated exchanges comprise a given local access and transport area.</w:t>
      </w:r>
    </w:p>
    <w:p w14:paraId="28873F67" w14:textId="77777777" w:rsidR="00553103" w:rsidRPr="00A87C30" w:rsidRDefault="00A87C30" w:rsidP="00A87C30">
      <w:pPr>
        <w:pStyle w:val="Heading1para"/>
        <w:ind w:left="0"/>
        <w:rPr>
          <w:szCs w:val="22"/>
        </w:rPr>
      </w:pPr>
      <w:r>
        <w:rPr>
          <w:szCs w:val="22"/>
        </w:rPr>
        <w:lastRenderedPageBreak/>
        <w:t>“</w:t>
      </w:r>
      <w:r w:rsidR="00180775" w:rsidRPr="00A87C30">
        <w:rPr>
          <w:b/>
          <w:szCs w:val="22"/>
        </w:rPr>
        <w:t>Interexchange</w:t>
      </w:r>
      <w:r w:rsidR="00180775" w:rsidRPr="00A87C30">
        <w:rPr>
          <w:szCs w:val="22"/>
        </w:rPr>
        <w:t xml:space="preserve"> </w:t>
      </w:r>
      <w:r w:rsidR="00180775" w:rsidRPr="00A87C30">
        <w:rPr>
          <w:b/>
          <w:szCs w:val="22"/>
        </w:rPr>
        <w:t>Carrier</w:t>
      </w:r>
      <w:r>
        <w:rPr>
          <w:szCs w:val="22"/>
        </w:rPr>
        <w:t>”</w:t>
      </w:r>
      <w:r w:rsidR="00180775" w:rsidRPr="00A87C30">
        <w:rPr>
          <w:szCs w:val="22"/>
        </w:rPr>
        <w:t xml:space="preserve"> (</w:t>
      </w:r>
      <w:r w:rsidR="00180775" w:rsidRPr="00A87C30">
        <w:rPr>
          <w:b/>
          <w:szCs w:val="22"/>
        </w:rPr>
        <w:t>IC</w:t>
      </w:r>
      <w:r w:rsidR="00180775" w:rsidRPr="00A87C30">
        <w:rPr>
          <w:szCs w:val="22"/>
        </w:rPr>
        <w:t xml:space="preserve">) or </w:t>
      </w:r>
      <w:r>
        <w:rPr>
          <w:szCs w:val="22"/>
        </w:rPr>
        <w:t>“</w:t>
      </w:r>
      <w:r w:rsidR="00180775" w:rsidRPr="00A87C30">
        <w:rPr>
          <w:b/>
          <w:szCs w:val="22"/>
        </w:rPr>
        <w:t>Interexchange Common Carrier</w:t>
      </w:r>
      <w:r>
        <w:rPr>
          <w:szCs w:val="22"/>
        </w:rPr>
        <w:t>”</w:t>
      </w:r>
      <w:r w:rsidR="00180775" w:rsidRPr="00A87C30">
        <w:rPr>
          <w:szCs w:val="22"/>
        </w:rPr>
        <w:t xml:space="preserve"> </w:t>
      </w:r>
      <w:r>
        <w:rPr>
          <w:szCs w:val="22"/>
        </w:rPr>
        <w:t>shall mean</w:t>
      </w:r>
      <w:r w:rsidRPr="00A87C30">
        <w:rPr>
          <w:szCs w:val="22"/>
        </w:rPr>
        <w:t xml:space="preserve"> </w:t>
      </w:r>
      <w:r w:rsidR="00180775" w:rsidRPr="00A87C30">
        <w:rPr>
          <w:szCs w:val="22"/>
        </w:rPr>
        <w:t>any individual, partnership, association, joint-stock company, trust, governmental entity or corporation engaged for hire in interstate or foreign communication by wire or radio, between two or more exchanges.</w:t>
      </w:r>
    </w:p>
    <w:p w14:paraId="67981148" w14:textId="77777777" w:rsidR="003C1306" w:rsidRPr="003C1306" w:rsidRDefault="003C1306" w:rsidP="00DE6EBB">
      <w:pPr>
        <w:pStyle w:val="Heading1para"/>
        <w:ind w:left="0"/>
      </w:pPr>
    </w:p>
    <w:bookmarkEnd w:id="0"/>
    <w:p w14:paraId="4FDBE034" w14:textId="13150EB9" w:rsidR="00137D16" w:rsidRPr="00095B83" w:rsidRDefault="0025049D" w:rsidP="00095B83">
      <w:pPr>
        <w:pStyle w:val="Heading1"/>
        <w:numPr>
          <w:ilvl w:val="0"/>
          <w:numId w:val="14"/>
        </w:numPr>
      </w:pPr>
      <w:r>
        <w:t>Order Documents</w:t>
      </w:r>
    </w:p>
    <w:p w14:paraId="41351E0E" w14:textId="3F07D418" w:rsidR="006371F2" w:rsidRPr="00095B83" w:rsidRDefault="00726A72" w:rsidP="006371F2">
      <w:pPr>
        <w:pStyle w:val="Heading2"/>
        <w:numPr>
          <w:ilvl w:val="1"/>
          <w:numId w:val="14"/>
        </w:numPr>
        <w:tabs>
          <w:tab w:val="left" w:pos="1620"/>
        </w:tabs>
        <w:ind w:left="1620"/>
      </w:pPr>
      <w:r w:rsidRPr="00095B83">
        <w:t xml:space="preserve">All Services shall be performed pursuant to the terms of this Contract and shall be documented in an order document established between </w:t>
      </w:r>
      <w:r w:rsidR="00061E6E">
        <w:t>WaTech</w:t>
      </w:r>
      <w:r w:rsidRPr="00095B83">
        <w:t xml:space="preserve"> and Contractor.</w:t>
      </w:r>
      <w:r w:rsidR="00323E79">
        <w:t xml:space="preserve"> </w:t>
      </w:r>
      <w:r w:rsidR="0071389C">
        <w:t>Service will be governed by: (a) the terms and conditions set forth in this Technical Addendum; and (b) to the extent a term is not covered in this Technical Addendum</w:t>
      </w:r>
      <w:r w:rsidR="0025049D">
        <w:t xml:space="preserve"> or</w:t>
      </w:r>
      <w:r w:rsidR="0071389C">
        <w:t xml:space="preserve"> the</w:t>
      </w:r>
      <w:r w:rsidR="003904E8">
        <w:t xml:space="preserve"> </w:t>
      </w:r>
      <w:r w:rsidR="00AE3A6C">
        <w:t>Network</w:t>
      </w:r>
      <w:r w:rsidR="003904E8">
        <w:t xml:space="preserve"> Service Agreement</w:t>
      </w:r>
      <w:r w:rsidR="0025049D">
        <w:t>, the Tariff applicable to Service. If there is any conflict between the terms in this Technical Addendum and the Tariff, the terms of the Technical Addendum will apply to the Services</w:t>
      </w:r>
      <w:r w:rsidR="0071389C">
        <w:t xml:space="preserve">. </w:t>
      </w:r>
    </w:p>
    <w:p w14:paraId="2DCEDFE5" w14:textId="77777777" w:rsidR="00137D16" w:rsidRPr="00095B83" w:rsidRDefault="00137D16" w:rsidP="00624326">
      <w:pPr>
        <w:pStyle w:val="Heading2"/>
        <w:numPr>
          <w:ilvl w:val="1"/>
          <w:numId w:val="14"/>
        </w:numPr>
        <w:tabs>
          <w:tab w:val="left" w:pos="1620"/>
        </w:tabs>
        <w:ind w:left="1620"/>
      </w:pPr>
      <w:r w:rsidRPr="00095B83">
        <w:t>No work shall be performed by Contractor until:</w:t>
      </w:r>
    </w:p>
    <w:p w14:paraId="6EC0C33C" w14:textId="1DA7D3E8" w:rsidR="00137D16" w:rsidRDefault="00061E6E" w:rsidP="00624326">
      <w:pPr>
        <w:pStyle w:val="Heading1para"/>
        <w:numPr>
          <w:ilvl w:val="0"/>
          <w:numId w:val="7"/>
        </w:numPr>
        <w:contextualSpacing/>
        <w:rPr>
          <w:szCs w:val="24"/>
        </w:rPr>
      </w:pPr>
      <w:r>
        <w:rPr>
          <w:szCs w:val="24"/>
        </w:rPr>
        <w:t>WaTech</w:t>
      </w:r>
      <w:r w:rsidR="00AE3A6C">
        <w:rPr>
          <w:szCs w:val="24"/>
        </w:rPr>
        <w:t xml:space="preserve"> </w:t>
      </w:r>
      <w:r w:rsidR="00137D16" w:rsidRPr="00095B83">
        <w:rPr>
          <w:szCs w:val="24"/>
        </w:rPr>
        <w:t>electronically sends a Tech Order</w:t>
      </w:r>
      <w:r w:rsidR="0025049D">
        <w:rPr>
          <w:szCs w:val="24"/>
        </w:rPr>
        <w:t xml:space="preserve"> (Order Form)</w:t>
      </w:r>
      <w:r w:rsidR="00137D16" w:rsidRPr="00095B83">
        <w:rPr>
          <w:szCs w:val="24"/>
        </w:rPr>
        <w:t xml:space="preserve"> to the Contractor</w:t>
      </w:r>
      <w:r w:rsidR="0025049D">
        <w:rPr>
          <w:szCs w:val="24"/>
        </w:rPr>
        <w:t xml:space="preserve"> and</w:t>
      </w:r>
    </w:p>
    <w:p w14:paraId="073BB702" w14:textId="49FAC2E3" w:rsidR="0025049D" w:rsidRPr="00095B83" w:rsidRDefault="0025049D" w:rsidP="00624326">
      <w:pPr>
        <w:pStyle w:val="Heading1para"/>
        <w:numPr>
          <w:ilvl w:val="0"/>
          <w:numId w:val="7"/>
        </w:numPr>
        <w:contextualSpacing/>
        <w:rPr>
          <w:szCs w:val="24"/>
        </w:rPr>
      </w:pPr>
      <w:r>
        <w:rPr>
          <w:szCs w:val="24"/>
        </w:rPr>
        <w:t xml:space="preserve"> Contractor confirms receipt of the Tech Order (Order Form).</w:t>
      </w:r>
    </w:p>
    <w:p w14:paraId="018FF5FB" w14:textId="4A7928CC" w:rsidR="00137D16" w:rsidRPr="00095B83" w:rsidRDefault="00137D16" w:rsidP="00624326">
      <w:pPr>
        <w:pStyle w:val="Heading2"/>
        <w:numPr>
          <w:ilvl w:val="1"/>
          <w:numId w:val="14"/>
        </w:numPr>
        <w:tabs>
          <w:tab w:val="left" w:pos="1620"/>
        </w:tabs>
        <w:ind w:left="1620"/>
      </w:pPr>
      <w:r w:rsidRPr="00095B83">
        <w:t xml:space="preserve">A SOW’s initial Service Term shall be thirty six (36) months, commencing upon the Effective Date of the Service Acceptance unless otherwise set forth in the </w:t>
      </w:r>
      <w:r w:rsidR="00061E6E">
        <w:t>WaTech</w:t>
      </w:r>
      <w:r w:rsidRPr="00095B83">
        <w:t xml:space="preserve"> Procurement Document</w:t>
      </w:r>
      <w:r w:rsidR="00B749BF">
        <w:t xml:space="preserve">, </w:t>
      </w:r>
    </w:p>
    <w:p w14:paraId="0ADC502A" w14:textId="77777777" w:rsidR="00137D16" w:rsidRPr="00095B83" w:rsidRDefault="00137D16" w:rsidP="00624326">
      <w:pPr>
        <w:pStyle w:val="Heading1"/>
        <w:numPr>
          <w:ilvl w:val="0"/>
          <w:numId w:val="14"/>
        </w:numPr>
      </w:pPr>
      <w:r w:rsidRPr="00095B83">
        <w:t xml:space="preserve">Termination Liability (TLA): </w:t>
      </w:r>
    </w:p>
    <w:p w14:paraId="40FC14A8" w14:textId="77777777" w:rsidR="00D00517" w:rsidRDefault="00DE6EBB" w:rsidP="00D00517">
      <w:pPr>
        <w:pStyle w:val="Heading2Para"/>
        <w:ind w:left="720" w:firstLine="0"/>
        <w:contextualSpacing/>
        <w:rPr>
          <w:szCs w:val="22"/>
        </w:rPr>
      </w:pPr>
      <w:bookmarkStart w:id="4" w:name="_Toc467155058"/>
      <w:bookmarkStart w:id="5" w:name="_Toc477777617"/>
      <w:r>
        <w:rPr>
          <w:szCs w:val="22"/>
        </w:rPr>
        <w:t>4</w:t>
      </w:r>
      <w:r w:rsidR="00D00517" w:rsidRPr="00095B83">
        <w:rPr>
          <w:szCs w:val="22"/>
        </w:rPr>
        <w:t>.1</w:t>
      </w:r>
      <w:r w:rsidR="00D00517" w:rsidRPr="00095B83">
        <w:rPr>
          <w:szCs w:val="22"/>
        </w:rPr>
        <w:tab/>
      </w:r>
      <w:r w:rsidR="00D00517" w:rsidRPr="00095B83">
        <w:rPr>
          <w:szCs w:val="22"/>
          <w:u w:val="single"/>
        </w:rPr>
        <w:t xml:space="preserve">DS-1 </w:t>
      </w:r>
      <w:r w:rsidR="00D00517" w:rsidRPr="00930FC1">
        <w:rPr>
          <w:szCs w:val="22"/>
          <w:u w:val="single"/>
        </w:rPr>
        <w:t>TLA Calculations</w:t>
      </w:r>
      <w:r w:rsidR="003E0D12" w:rsidRPr="00930FC1">
        <w:rPr>
          <w:szCs w:val="22"/>
        </w:rPr>
        <w:t xml:space="preserve">: </w:t>
      </w:r>
      <w:proofErr w:type="gramStart"/>
      <w:r w:rsidR="00D00517" w:rsidRPr="00930FC1">
        <w:rPr>
          <w:szCs w:val="22"/>
        </w:rPr>
        <w:t>In the event that</w:t>
      </w:r>
      <w:proofErr w:type="gramEnd"/>
      <w:r w:rsidR="00D00517" w:rsidRPr="00930FC1">
        <w:rPr>
          <w:szCs w:val="22"/>
        </w:rPr>
        <w:t xml:space="preserve"> the Stat</w:t>
      </w:r>
      <w:r w:rsidR="00D00517" w:rsidRPr="001A4454">
        <w:rPr>
          <w:szCs w:val="22"/>
        </w:rPr>
        <w:t>e must terminate service, termination liability will not exceed the cost of one month’s service at</w:t>
      </w:r>
      <w:r w:rsidR="00D00517" w:rsidRPr="00095B83">
        <w:rPr>
          <w:szCs w:val="22"/>
        </w:rPr>
        <w:t xml:space="preserve"> the affected locations for each remaining full year on the contract.  </w:t>
      </w:r>
    </w:p>
    <w:p w14:paraId="21B13541" w14:textId="77777777" w:rsidR="00553103" w:rsidRPr="00095B83" w:rsidRDefault="00553103" w:rsidP="00D00517">
      <w:pPr>
        <w:pStyle w:val="Heading2Para"/>
        <w:ind w:left="720" w:firstLine="0"/>
        <w:contextualSpacing/>
        <w:rPr>
          <w:szCs w:val="22"/>
        </w:rPr>
      </w:pPr>
    </w:p>
    <w:p w14:paraId="2654D409" w14:textId="77777777" w:rsidR="00D00517" w:rsidRPr="00095B83" w:rsidRDefault="00DE6EBB" w:rsidP="00D00517">
      <w:pPr>
        <w:pStyle w:val="Heading2Para"/>
        <w:ind w:left="720" w:firstLine="0"/>
        <w:contextualSpacing/>
        <w:rPr>
          <w:szCs w:val="22"/>
        </w:rPr>
      </w:pPr>
      <w:r>
        <w:rPr>
          <w:szCs w:val="22"/>
        </w:rPr>
        <w:t>4</w:t>
      </w:r>
      <w:r w:rsidR="00D00517" w:rsidRPr="00095B83">
        <w:rPr>
          <w:szCs w:val="22"/>
        </w:rPr>
        <w:t>.2</w:t>
      </w:r>
      <w:r w:rsidR="00D00517" w:rsidRPr="00095B83">
        <w:rPr>
          <w:szCs w:val="22"/>
        </w:rPr>
        <w:tab/>
      </w:r>
      <w:r w:rsidR="00D00517" w:rsidRPr="00095B83">
        <w:rPr>
          <w:szCs w:val="22"/>
          <w:u w:val="single"/>
        </w:rPr>
        <w:t>DS-3 and OC-X TLA Calculations</w:t>
      </w:r>
      <w:r w:rsidR="00D00517" w:rsidRPr="00095B83">
        <w:rPr>
          <w:szCs w:val="22"/>
        </w:rPr>
        <w:t xml:space="preserve">: </w:t>
      </w:r>
      <w:proofErr w:type="gramStart"/>
      <w:r w:rsidR="00D00517" w:rsidRPr="00095B83">
        <w:rPr>
          <w:szCs w:val="22"/>
        </w:rPr>
        <w:t>In the event that</w:t>
      </w:r>
      <w:proofErr w:type="gramEnd"/>
      <w:r w:rsidR="00D00517" w:rsidRPr="00095B83">
        <w:rPr>
          <w:szCs w:val="22"/>
        </w:rPr>
        <w:t xml:space="preserve"> the State must terminate service, termination liability will be determined by the following table:</w:t>
      </w:r>
    </w:p>
    <w:p w14:paraId="1F571372" w14:textId="77777777" w:rsidR="00D00517" w:rsidRPr="00095B83" w:rsidRDefault="00D00517" w:rsidP="00D00517">
      <w:pPr>
        <w:pStyle w:val="Heading2Para"/>
        <w:ind w:left="720" w:firstLine="0"/>
        <w:contextualSpacing/>
        <w:rPr>
          <w:szCs w:val="22"/>
        </w:rPr>
      </w:pPr>
      <w:r w:rsidRPr="00095B83">
        <w:rPr>
          <w:szCs w:val="22"/>
        </w:rPr>
        <w:t>Months   0-12</w:t>
      </w:r>
      <w:r w:rsidRPr="00095B83">
        <w:rPr>
          <w:szCs w:val="22"/>
        </w:rPr>
        <w:tab/>
        <w:t xml:space="preserve">100% of the MRC </w:t>
      </w:r>
      <w:proofErr w:type="gramStart"/>
      <w:r w:rsidRPr="00095B83">
        <w:rPr>
          <w:szCs w:val="22"/>
        </w:rPr>
        <w:t>remaining</w:t>
      </w:r>
      <w:proofErr w:type="gramEnd"/>
      <w:r w:rsidRPr="00095B83">
        <w:rPr>
          <w:szCs w:val="22"/>
        </w:rPr>
        <w:t xml:space="preserve"> in this </w:t>
      </w:r>
      <w:proofErr w:type="gramStart"/>
      <w:r w:rsidRPr="00095B83">
        <w:rPr>
          <w:szCs w:val="22"/>
        </w:rPr>
        <w:t>12 month</w:t>
      </w:r>
      <w:proofErr w:type="gramEnd"/>
      <w:r w:rsidRPr="00095B83">
        <w:rPr>
          <w:szCs w:val="22"/>
        </w:rPr>
        <w:t xml:space="preserve"> period. </w:t>
      </w:r>
    </w:p>
    <w:p w14:paraId="6A91BC67" w14:textId="77777777" w:rsidR="00D00517" w:rsidRPr="00095B83" w:rsidRDefault="00D00517" w:rsidP="00D00517">
      <w:pPr>
        <w:pStyle w:val="Heading2Para"/>
        <w:ind w:left="720" w:firstLine="0"/>
        <w:contextualSpacing/>
        <w:rPr>
          <w:szCs w:val="22"/>
        </w:rPr>
      </w:pPr>
      <w:r w:rsidRPr="00095B83">
        <w:rPr>
          <w:szCs w:val="22"/>
        </w:rPr>
        <w:t>Months 13-24</w:t>
      </w:r>
      <w:proofErr w:type="gramStart"/>
      <w:r w:rsidRPr="00095B83">
        <w:rPr>
          <w:szCs w:val="22"/>
        </w:rPr>
        <w:tab/>
        <w:t xml:space="preserve">  30</w:t>
      </w:r>
      <w:proofErr w:type="gramEnd"/>
      <w:r w:rsidRPr="00095B83">
        <w:rPr>
          <w:szCs w:val="22"/>
        </w:rPr>
        <w:t xml:space="preserve">% of the MRC </w:t>
      </w:r>
      <w:proofErr w:type="gramStart"/>
      <w:r w:rsidRPr="00095B83">
        <w:rPr>
          <w:szCs w:val="22"/>
        </w:rPr>
        <w:t>remaining</w:t>
      </w:r>
      <w:proofErr w:type="gramEnd"/>
      <w:r w:rsidRPr="00095B83">
        <w:rPr>
          <w:szCs w:val="22"/>
        </w:rPr>
        <w:t xml:space="preserve"> in this 12 month period.</w:t>
      </w:r>
    </w:p>
    <w:p w14:paraId="73F599E6" w14:textId="77777777" w:rsidR="00DE6EBB" w:rsidRPr="00DE6EBB" w:rsidRDefault="00D00517" w:rsidP="00D00517">
      <w:pPr>
        <w:pStyle w:val="Heading2"/>
        <w:suppressAutoHyphens/>
        <w:ind w:left="720"/>
        <w:rPr>
          <w:szCs w:val="22"/>
        </w:rPr>
      </w:pPr>
      <w:r w:rsidRPr="00095B83">
        <w:rPr>
          <w:szCs w:val="22"/>
        </w:rPr>
        <w:t>For all months beyond month 24, TLA will be 0% and service can be canceled without penalty</w:t>
      </w:r>
      <w:r w:rsidR="00A87C30">
        <w:rPr>
          <w:szCs w:val="22"/>
        </w:rPr>
        <w:t>.</w:t>
      </w:r>
    </w:p>
    <w:p w14:paraId="301E0EA2" w14:textId="77777777" w:rsidR="00D00517" w:rsidRPr="00095B83" w:rsidRDefault="00DE6EBB" w:rsidP="00D00517">
      <w:pPr>
        <w:pStyle w:val="Heading2Para"/>
        <w:ind w:left="720" w:firstLine="0"/>
        <w:contextualSpacing/>
        <w:rPr>
          <w:szCs w:val="22"/>
        </w:rPr>
      </w:pPr>
      <w:r>
        <w:rPr>
          <w:szCs w:val="22"/>
        </w:rPr>
        <w:t>4</w:t>
      </w:r>
      <w:r w:rsidR="00D00517" w:rsidRPr="00095B83">
        <w:rPr>
          <w:szCs w:val="22"/>
        </w:rPr>
        <w:t>.3</w:t>
      </w:r>
      <w:r w:rsidR="00D00517" w:rsidRPr="00095B83">
        <w:rPr>
          <w:szCs w:val="22"/>
        </w:rPr>
        <w:tab/>
      </w:r>
      <w:r w:rsidR="00D00517" w:rsidRPr="00095B83">
        <w:rPr>
          <w:szCs w:val="22"/>
          <w:u w:val="single"/>
        </w:rPr>
        <w:t>DS-1, DS-3, and OC-X service TLA Period Reset - New Pricing</w:t>
      </w:r>
    </w:p>
    <w:p w14:paraId="0C241CEB" w14:textId="6E1BDCC3" w:rsidR="00D00517" w:rsidRPr="00095B83" w:rsidRDefault="00D00517" w:rsidP="00D00517">
      <w:pPr>
        <w:pStyle w:val="Heading2Para"/>
        <w:ind w:left="720" w:firstLine="0"/>
        <w:contextualSpacing/>
        <w:rPr>
          <w:szCs w:val="22"/>
        </w:rPr>
      </w:pPr>
      <w:r w:rsidRPr="00095B83">
        <w:rPr>
          <w:szCs w:val="22"/>
        </w:rPr>
        <w:t xml:space="preserve">The Contractor may offer new pricing to </w:t>
      </w:r>
      <w:r w:rsidR="00061E6E">
        <w:rPr>
          <w:szCs w:val="22"/>
        </w:rPr>
        <w:t>WaTech</w:t>
      </w:r>
      <w:r w:rsidRPr="00095B83">
        <w:rPr>
          <w:szCs w:val="22"/>
        </w:rPr>
        <w:t xml:space="preserve"> at any time or when requested.  </w:t>
      </w:r>
    </w:p>
    <w:p w14:paraId="60762276" w14:textId="77777777" w:rsidR="00137D16" w:rsidRPr="00095B83" w:rsidRDefault="00137D16" w:rsidP="00624326">
      <w:pPr>
        <w:pStyle w:val="Heading1"/>
        <w:numPr>
          <w:ilvl w:val="0"/>
          <w:numId w:val="14"/>
        </w:numPr>
      </w:pPr>
      <w:r w:rsidRPr="00095B83">
        <w:t>Service Installatio</w:t>
      </w:r>
      <w:bookmarkEnd w:id="4"/>
      <w:bookmarkEnd w:id="5"/>
      <w:r w:rsidRPr="00095B83">
        <w:t>n</w:t>
      </w:r>
    </w:p>
    <w:p w14:paraId="2F14E076" w14:textId="77777777" w:rsidR="00137D16" w:rsidRPr="00095B83" w:rsidRDefault="00137D16" w:rsidP="00624326">
      <w:pPr>
        <w:pStyle w:val="Heading2"/>
        <w:numPr>
          <w:ilvl w:val="1"/>
          <w:numId w:val="14"/>
        </w:numPr>
        <w:tabs>
          <w:tab w:val="left" w:pos="1620"/>
        </w:tabs>
        <w:ind w:left="1620"/>
      </w:pPr>
      <w:r w:rsidRPr="00095B83">
        <w:t>Guaranteed Install Interval</w:t>
      </w:r>
    </w:p>
    <w:p w14:paraId="4EF3CF4E" w14:textId="41418D4E" w:rsidR="00137D16" w:rsidRPr="00095B83" w:rsidRDefault="00137D16" w:rsidP="00624326">
      <w:pPr>
        <w:pStyle w:val="Heading1para"/>
        <w:numPr>
          <w:ilvl w:val="0"/>
          <w:numId w:val="15"/>
        </w:numPr>
        <w:contextualSpacing/>
        <w:rPr>
          <w:szCs w:val="24"/>
        </w:rPr>
      </w:pPr>
      <w:r w:rsidRPr="00095B83">
        <w:rPr>
          <w:szCs w:val="24"/>
        </w:rPr>
        <w:t xml:space="preserve">The Guaranteed Install Interval shall commence when </w:t>
      </w:r>
      <w:r w:rsidR="00061E6E">
        <w:rPr>
          <w:szCs w:val="24"/>
        </w:rPr>
        <w:t>WaTech</w:t>
      </w:r>
      <w:r w:rsidRPr="00095B83">
        <w:rPr>
          <w:szCs w:val="24"/>
        </w:rPr>
        <w:t xml:space="preserve"> electronica</w:t>
      </w:r>
      <w:r w:rsidR="00CE6D71" w:rsidRPr="00095B83">
        <w:rPr>
          <w:szCs w:val="24"/>
        </w:rPr>
        <w:t xml:space="preserve">lly sends the Tech Order to the </w:t>
      </w:r>
      <w:r w:rsidRPr="00095B83">
        <w:rPr>
          <w:szCs w:val="24"/>
        </w:rPr>
        <w:t>Contractor, a Tech Order shall be provided to the Contractor within seven (7) days after receipt of the signed SOW.</w:t>
      </w:r>
    </w:p>
    <w:p w14:paraId="7A64C544" w14:textId="77777777" w:rsidR="00137D16" w:rsidRPr="00095B83" w:rsidRDefault="00137D16" w:rsidP="00624326">
      <w:pPr>
        <w:pStyle w:val="Heading2"/>
        <w:numPr>
          <w:ilvl w:val="1"/>
          <w:numId w:val="14"/>
        </w:numPr>
        <w:tabs>
          <w:tab w:val="left" w:pos="1620"/>
        </w:tabs>
        <w:ind w:left="1620"/>
      </w:pPr>
      <w:r w:rsidRPr="00095B83">
        <w:t>Remedies for Miss</w:t>
      </w:r>
      <w:r w:rsidR="0098073A" w:rsidRPr="00095B83">
        <w:t>ed Guaranteed Install Interval</w:t>
      </w:r>
    </w:p>
    <w:p w14:paraId="06F0AB0E" w14:textId="7BDD2693" w:rsidR="00137D16" w:rsidRDefault="00137D16" w:rsidP="00624326">
      <w:pPr>
        <w:pStyle w:val="Heading1para"/>
        <w:numPr>
          <w:ilvl w:val="0"/>
          <w:numId w:val="17"/>
        </w:numPr>
        <w:contextualSpacing/>
        <w:rPr>
          <w:szCs w:val="24"/>
        </w:rPr>
      </w:pPr>
      <w:r w:rsidRPr="00095B83">
        <w:rPr>
          <w:szCs w:val="24"/>
        </w:rPr>
        <w:t xml:space="preserve">For every day past the Guaranteed Install Interval that the </w:t>
      </w:r>
      <w:r w:rsidR="00866C7A" w:rsidRPr="00095B83">
        <w:rPr>
          <w:szCs w:val="24"/>
        </w:rPr>
        <w:t>S</w:t>
      </w:r>
      <w:r w:rsidR="009F597C" w:rsidRPr="00095B83">
        <w:rPr>
          <w:szCs w:val="24"/>
        </w:rPr>
        <w:t xml:space="preserve">ervice </w:t>
      </w:r>
      <w:r w:rsidRPr="00095B83">
        <w:rPr>
          <w:szCs w:val="24"/>
        </w:rPr>
        <w:t xml:space="preserve">is not delivered to </w:t>
      </w:r>
      <w:r w:rsidR="00061E6E">
        <w:rPr>
          <w:szCs w:val="24"/>
        </w:rPr>
        <w:t>WaTech</w:t>
      </w:r>
      <w:r w:rsidRPr="00095B83">
        <w:rPr>
          <w:szCs w:val="24"/>
        </w:rPr>
        <w:t xml:space="preserve">, Contractor will credit five percent (5%) of the Contractor’s MRC for that </w:t>
      </w:r>
      <w:r w:rsidR="00866C7A" w:rsidRPr="00095B83">
        <w:rPr>
          <w:szCs w:val="24"/>
        </w:rPr>
        <w:t>Service</w:t>
      </w:r>
      <w:r w:rsidRPr="00095B83">
        <w:rPr>
          <w:szCs w:val="24"/>
        </w:rPr>
        <w:t xml:space="preserve"> for each day until the Service is delivered to </w:t>
      </w:r>
      <w:r w:rsidR="00061E6E">
        <w:rPr>
          <w:szCs w:val="24"/>
        </w:rPr>
        <w:t>WaTech</w:t>
      </w:r>
      <w:r w:rsidRPr="00095B83">
        <w:rPr>
          <w:szCs w:val="24"/>
        </w:rPr>
        <w:t xml:space="preserve">. Credits awarded under this section shall not </w:t>
      </w:r>
      <w:r w:rsidR="000C72A5" w:rsidRPr="00095B83">
        <w:rPr>
          <w:szCs w:val="24"/>
        </w:rPr>
        <w:t>exceed</w:t>
      </w:r>
      <w:r w:rsidRPr="00095B83">
        <w:rPr>
          <w:szCs w:val="24"/>
        </w:rPr>
        <w:t xml:space="preserve"> one month of the MRC unless the install interva</w:t>
      </w:r>
      <w:r w:rsidR="0098073A" w:rsidRPr="00095B83">
        <w:rPr>
          <w:szCs w:val="24"/>
        </w:rPr>
        <w:t>l takes more than one month.</w:t>
      </w:r>
    </w:p>
    <w:p w14:paraId="59DEFA8C" w14:textId="07CF618C" w:rsidR="00374063" w:rsidRPr="00095B83" w:rsidRDefault="00374063" w:rsidP="00624326">
      <w:pPr>
        <w:pStyle w:val="Heading1para"/>
        <w:numPr>
          <w:ilvl w:val="0"/>
          <w:numId w:val="17"/>
        </w:numPr>
        <w:contextualSpacing/>
        <w:rPr>
          <w:szCs w:val="24"/>
        </w:rPr>
      </w:pPr>
      <w:r w:rsidRPr="00401318">
        <w:rPr>
          <w:noProof/>
        </w:rPr>
        <w:lastRenderedPageBreak/>
        <w:t xml:space="preserve">It is further understood and agreed by the Parties that </w:t>
      </w:r>
      <w:r w:rsidR="00061E6E">
        <w:rPr>
          <w:noProof/>
        </w:rPr>
        <w:t>WaTech</w:t>
      </w:r>
      <w:r w:rsidRPr="00401318">
        <w:rPr>
          <w:noProof/>
        </w:rPr>
        <w:t xml:space="preserve"> shall be damaged by such failure of Contractor to meet the Guarenteed Install Interval and that any remedies that become payable under this section are not penalties, are fair and reasonable under the circumstances, and that such payments represent a reasonable estimate of fair compensation.</w:t>
      </w:r>
    </w:p>
    <w:p w14:paraId="5A3EAB1E" w14:textId="77777777" w:rsidR="00137D16" w:rsidRPr="00095B83" w:rsidRDefault="00137D16" w:rsidP="00624326">
      <w:pPr>
        <w:pStyle w:val="Heading2"/>
        <w:numPr>
          <w:ilvl w:val="1"/>
          <w:numId w:val="14"/>
        </w:numPr>
        <w:tabs>
          <w:tab w:val="left" w:pos="1620"/>
        </w:tabs>
        <w:ind w:left="1620"/>
      </w:pPr>
      <w:r w:rsidRPr="00095B83">
        <w:t>Service Installation Fees</w:t>
      </w:r>
    </w:p>
    <w:p w14:paraId="31378B12" w14:textId="12018F43" w:rsidR="00137D16" w:rsidRPr="00095B83" w:rsidRDefault="00137D16" w:rsidP="001F4FD3">
      <w:pPr>
        <w:pStyle w:val="Heading1para"/>
        <w:ind w:left="1620"/>
        <w:contextualSpacing/>
        <w:rPr>
          <w:szCs w:val="24"/>
        </w:rPr>
      </w:pPr>
      <w:r w:rsidRPr="00095B83">
        <w:rPr>
          <w:szCs w:val="24"/>
        </w:rPr>
        <w:t xml:space="preserve">Except as may be otherwise agreed by the Parties in the applicable Statement of Work, Contractor shall not charge fees for any re-performance caused by Contractor’s error or breach or to remedy any non-conformity as may be designated by </w:t>
      </w:r>
      <w:r w:rsidR="00061E6E">
        <w:rPr>
          <w:szCs w:val="24"/>
        </w:rPr>
        <w:t>WaTech</w:t>
      </w:r>
      <w:r w:rsidRPr="00095B83">
        <w:rPr>
          <w:szCs w:val="24"/>
        </w:rPr>
        <w:t>.</w:t>
      </w:r>
    </w:p>
    <w:p w14:paraId="3ADEFDF7" w14:textId="4DFB4B94" w:rsidR="00137D16" w:rsidRPr="00095B83" w:rsidRDefault="00137D16" w:rsidP="001F4FD3">
      <w:pPr>
        <w:pStyle w:val="Heading1para"/>
        <w:ind w:left="1620"/>
        <w:contextualSpacing/>
        <w:rPr>
          <w:szCs w:val="24"/>
        </w:rPr>
      </w:pPr>
      <w:r w:rsidRPr="00095B83">
        <w:rPr>
          <w:szCs w:val="24"/>
        </w:rPr>
        <w:t xml:space="preserve">Contractors are responsible for installation of </w:t>
      </w:r>
      <w:r w:rsidR="004E4DDF" w:rsidRPr="00095B83">
        <w:rPr>
          <w:szCs w:val="24"/>
        </w:rPr>
        <w:t>Service</w:t>
      </w:r>
      <w:r w:rsidRPr="00095B83">
        <w:rPr>
          <w:szCs w:val="24"/>
        </w:rPr>
        <w:t xml:space="preserve"> to the location specified in the </w:t>
      </w:r>
      <w:r w:rsidR="00061E6E">
        <w:rPr>
          <w:szCs w:val="24"/>
        </w:rPr>
        <w:t>WaTech</w:t>
      </w:r>
      <w:r w:rsidRPr="00095B83">
        <w:rPr>
          <w:szCs w:val="24"/>
        </w:rPr>
        <w:t xml:space="preserve"> Procurement Document and all costs associated with said installation must be included in the Contractor’s Response.  Any additional costs not stated in its Response shall be the responsibility of the Contractor.</w:t>
      </w:r>
    </w:p>
    <w:p w14:paraId="17C1D110" w14:textId="77777777" w:rsidR="00137D16" w:rsidRPr="00095B83" w:rsidRDefault="00FC2549" w:rsidP="00624326">
      <w:pPr>
        <w:pStyle w:val="Heading2"/>
        <w:numPr>
          <w:ilvl w:val="1"/>
          <w:numId w:val="14"/>
        </w:numPr>
        <w:tabs>
          <w:tab w:val="left" w:pos="1620"/>
        </w:tabs>
        <w:ind w:left="1620"/>
      </w:pPr>
      <w:r w:rsidRPr="00095B83">
        <w:t>Wee</w:t>
      </w:r>
      <w:r w:rsidR="00137D16" w:rsidRPr="00095B83">
        <w:t>kly Updates</w:t>
      </w:r>
    </w:p>
    <w:p w14:paraId="017E0E9C" w14:textId="61776441" w:rsidR="00137D16" w:rsidRPr="00095B83" w:rsidRDefault="00137D16" w:rsidP="0098073A">
      <w:pPr>
        <w:pStyle w:val="Heading2"/>
        <w:tabs>
          <w:tab w:val="left" w:pos="1620"/>
        </w:tabs>
        <w:ind w:left="1620"/>
      </w:pPr>
      <w:r w:rsidRPr="00095B83">
        <w:t xml:space="preserve">The Contractor will provide weekly updates detailing the progress made for </w:t>
      </w:r>
      <w:r w:rsidR="004E4DDF" w:rsidRPr="00095B83">
        <w:t>Service</w:t>
      </w:r>
      <w:r w:rsidRPr="00095B83">
        <w:t xml:space="preserve"> installation with estimated timeframes for major milestones.  These updates will be delivered via email.  In addition, the Contractor will participate in a recurring conference call with </w:t>
      </w:r>
      <w:r w:rsidR="00061E6E">
        <w:t>WaTech</w:t>
      </w:r>
      <w:r w:rsidRPr="00095B83">
        <w:t>.</w:t>
      </w:r>
    </w:p>
    <w:p w14:paraId="5C032833" w14:textId="77777777" w:rsidR="00137D16" w:rsidRPr="00095B83" w:rsidRDefault="00137D16" w:rsidP="00624326">
      <w:pPr>
        <w:pStyle w:val="Heading2"/>
        <w:numPr>
          <w:ilvl w:val="1"/>
          <w:numId w:val="14"/>
        </w:numPr>
        <w:tabs>
          <w:tab w:val="left" w:pos="1620"/>
        </w:tabs>
        <w:ind w:left="1620"/>
      </w:pPr>
      <w:bookmarkStart w:id="6" w:name="_Toc466906368"/>
      <w:r w:rsidRPr="00095B83">
        <w:t>Contractor Demarcation Poin</w:t>
      </w:r>
      <w:bookmarkEnd w:id="6"/>
      <w:r w:rsidRPr="00095B83">
        <w:t>t</w:t>
      </w:r>
    </w:p>
    <w:p w14:paraId="002A08D8" w14:textId="13F856B2" w:rsidR="00137D16" w:rsidRPr="00095B83" w:rsidRDefault="00137D16" w:rsidP="0098073A">
      <w:pPr>
        <w:pStyle w:val="Heading2"/>
        <w:tabs>
          <w:tab w:val="left" w:pos="1620"/>
        </w:tabs>
        <w:ind w:left="1620"/>
      </w:pPr>
      <w:r w:rsidRPr="00095B83">
        <w:t xml:space="preserve">If </w:t>
      </w:r>
      <w:r w:rsidR="00061E6E">
        <w:t>WaTech</w:t>
      </w:r>
      <w:r w:rsidRPr="00095B83">
        <w:t xml:space="preserve"> requests an extended Contractor Demarcation Point – Contractor is responsible for installing, maintaining, and servicing of the extended </w:t>
      </w:r>
      <w:r w:rsidR="00D97F7C" w:rsidRPr="00095B83">
        <w:t>demarc</w:t>
      </w:r>
      <w:r w:rsidRPr="00095B83">
        <w:t xml:space="preserve"> including but not limited to cabling, telecommunications equipment, and any work done by a Subcontractor.</w:t>
      </w:r>
    </w:p>
    <w:p w14:paraId="67A1FD04" w14:textId="77777777" w:rsidR="00137D16" w:rsidRPr="00095B83" w:rsidRDefault="00137D16" w:rsidP="00624326">
      <w:pPr>
        <w:pStyle w:val="Heading2"/>
        <w:numPr>
          <w:ilvl w:val="1"/>
          <w:numId w:val="14"/>
        </w:numPr>
        <w:tabs>
          <w:tab w:val="left" w:pos="1620"/>
        </w:tabs>
        <w:ind w:left="1620"/>
      </w:pPr>
      <w:r w:rsidRPr="00095B83">
        <w:t>Circuit Handoff</w:t>
      </w:r>
    </w:p>
    <w:p w14:paraId="4C746549" w14:textId="01500EC9" w:rsidR="00FE1A89" w:rsidRPr="00095B83" w:rsidRDefault="00FE1A89" w:rsidP="00FE1A89">
      <w:pPr>
        <w:pStyle w:val="Heading2"/>
        <w:numPr>
          <w:ilvl w:val="0"/>
          <w:numId w:val="39"/>
        </w:numPr>
        <w:tabs>
          <w:tab w:val="left" w:pos="1620"/>
        </w:tabs>
      </w:pPr>
      <w:bookmarkStart w:id="7" w:name="_Toc301182374"/>
      <w:bookmarkStart w:id="8" w:name="_Toc301535930"/>
      <w:bookmarkStart w:id="9" w:name="_Toc301536881"/>
      <w:bookmarkStart w:id="10" w:name="_Toc303949000"/>
      <w:bookmarkStart w:id="11" w:name="_Toc309299759"/>
      <w:bookmarkStart w:id="12" w:name="_Toc309300956"/>
      <w:bookmarkStart w:id="13" w:name="_Toc309725739"/>
      <w:bookmarkStart w:id="14" w:name="_Toc309726424"/>
      <w:r w:rsidRPr="00095B83">
        <w:t xml:space="preserve">Unless otherwise stated in the </w:t>
      </w:r>
      <w:r w:rsidR="00061E6E">
        <w:t>WaTech</w:t>
      </w:r>
      <w:r w:rsidRPr="00095B83">
        <w:t xml:space="preserve"> Procurement Document, all DS-3 and OC-X connections will be delivered as an </w:t>
      </w:r>
      <w:r w:rsidR="00A87C30">
        <w:t>“</w:t>
      </w:r>
      <w:r w:rsidRPr="00095B83">
        <w:t>LC</w:t>
      </w:r>
      <w:r w:rsidR="00A87C30">
        <w:t>”</w:t>
      </w:r>
      <w:r w:rsidRPr="00095B83">
        <w:t xml:space="preserve"> style fiber connection via optic DSX equipment (FODU).</w:t>
      </w:r>
    </w:p>
    <w:p w14:paraId="285E79C9" w14:textId="6B444833" w:rsidR="00FE1A89" w:rsidRDefault="00FE1A89" w:rsidP="00FE1A89">
      <w:pPr>
        <w:pStyle w:val="Heading2"/>
        <w:numPr>
          <w:ilvl w:val="0"/>
          <w:numId w:val="39"/>
        </w:numPr>
        <w:tabs>
          <w:tab w:val="left" w:pos="1620"/>
        </w:tabs>
      </w:pPr>
      <w:r w:rsidRPr="00095B83">
        <w:t xml:space="preserve">Unless otherwise stated in the </w:t>
      </w:r>
      <w:r w:rsidR="00061E6E">
        <w:t>WaTech</w:t>
      </w:r>
      <w:r w:rsidRPr="00095B83">
        <w:t xml:space="preserve"> Procurement Document, all T-1 circuits will be delivered as an Electrical/Copper connections.</w:t>
      </w:r>
    </w:p>
    <w:p w14:paraId="4B72ECCF" w14:textId="77777777" w:rsidR="00374063" w:rsidRPr="00553103" w:rsidRDefault="000D7C49" w:rsidP="00374063">
      <w:pPr>
        <w:pStyle w:val="Heading2"/>
        <w:numPr>
          <w:ilvl w:val="1"/>
          <w:numId w:val="0"/>
        </w:numPr>
        <w:tabs>
          <w:tab w:val="num" w:pos="1620"/>
        </w:tabs>
        <w:ind w:left="1620" w:hanging="720"/>
        <w:rPr>
          <w:noProof w:val="0"/>
          <w:color w:val="000000"/>
        </w:rPr>
      </w:pPr>
      <w:r>
        <w:t>5.7</w:t>
      </w:r>
      <w:r w:rsidR="00374063" w:rsidRPr="00553103">
        <w:tab/>
        <w:t>Quincy Data Center</w:t>
      </w:r>
      <w:r w:rsidR="00702671" w:rsidRPr="00553103">
        <w:t>(QDC)</w:t>
      </w:r>
      <w:r w:rsidR="003E0D12">
        <w:t xml:space="preserve"> </w:t>
      </w:r>
      <w:r w:rsidR="00702671" w:rsidRPr="00553103">
        <w:t xml:space="preserve">when </w:t>
      </w:r>
      <w:r w:rsidR="00F708E7" w:rsidRPr="00553103">
        <w:t>QDC is either A-LOC or Z-LOC</w:t>
      </w:r>
    </w:p>
    <w:p w14:paraId="12F3A468" w14:textId="77777777" w:rsidR="00374063" w:rsidRPr="0009291D" w:rsidRDefault="00374063" w:rsidP="001F4FD3">
      <w:pPr>
        <w:pStyle w:val="Heading2"/>
        <w:numPr>
          <w:ilvl w:val="0"/>
          <w:numId w:val="49"/>
        </w:numPr>
        <w:tabs>
          <w:tab w:val="num" w:pos="1980"/>
        </w:tabs>
        <w:ind w:left="1980" w:hanging="360"/>
        <w:rPr>
          <w:noProof w:val="0"/>
          <w:color w:val="000000"/>
        </w:rPr>
      </w:pPr>
      <w:r w:rsidRPr="0009291D">
        <w:rPr>
          <w:noProof w:val="0"/>
          <w:color w:val="000000"/>
        </w:rPr>
        <w:t xml:space="preserve">The Contractor shall work with Sabey Data Centers </w:t>
      </w:r>
      <w:proofErr w:type="gramStart"/>
      <w:r w:rsidRPr="0009291D">
        <w:rPr>
          <w:noProof w:val="0"/>
          <w:color w:val="000000"/>
        </w:rPr>
        <w:t>directly, and</w:t>
      </w:r>
      <w:proofErr w:type="gramEnd"/>
      <w:r w:rsidRPr="0009291D">
        <w:rPr>
          <w:noProof w:val="0"/>
          <w:color w:val="000000"/>
        </w:rPr>
        <w:t xml:space="preserve"> shall be responsible for all associated third party costs </w:t>
      </w:r>
      <w:r w:rsidRPr="00A73F23">
        <w:rPr>
          <w:noProof w:val="0"/>
          <w:color w:val="000000"/>
        </w:rPr>
        <w:t>incurred in order for the</w:t>
      </w:r>
      <w:r w:rsidRPr="0009291D">
        <w:rPr>
          <w:noProof w:val="0"/>
          <w:color w:val="000000"/>
        </w:rPr>
        <w:t xml:space="preserve"> Quincy</w:t>
      </w:r>
      <w:r>
        <w:rPr>
          <w:noProof w:val="0"/>
          <w:color w:val="000000"/>
        </w:rPr>
        <w:t xml:space="preserve"> Data Center</w:t>
      </w:r>
      <w:r w:rsidRPr="0009291D">
        <w:rPr>
          <w:noProof w:val="0"/>
          <w:color w:val="000000"/>
        </w:rPr>
        <w:t xml:space="preserve"> site to meet the need to house any on premise equipment in the provider space/meet</w:t>
      </w:r>
      <w:r>
        <w:rPr>
          <w:noProof w:val="0"/>
          <w:color w:val="000000"/>
        </w:rPr>
        <w:t xml:space="preserve">-me </w:t>
      </w:r>
      <w:r w:rsidRPr="0009291D">
        <w:rPr>
          <w:noProof w:val="0"/>
          <w:color w:val="000000"/>
        </w:rPr>
        <w:t>room.</w:t>
      </w:r>
    </w:p>
    <w:p w14:paraId="27F6F024" w14:textId="77777777" w:rsidR="00374063" w:rsidRPr="00C87979" w:rsidRDefault="00374063" w:rsidP="001F4FD3">
      <w:pPr>
        <w:pStyle w:val="Heading2"/>
        <w:numPr>
          <w:ilvl w:val="0"/>
          <w:numId w:val="49"/>
        </w:numPr>
        <w:tabs>
          <w:tab w:val="num" w:pos="1980"/>
        </w:tabs>
        <w:ind w:left="1980" w:hanging="360"/>
        <w:rPr>
          <w:noProof w:val="0"/>
          <w:color w:val="000000"/>
        </w:rPr>
      </w:pPr>
      <w:r w:rsidRPr="00C87979">
        <w:rPr>
          <w:noProof w:val="0"/>
          <w:color w:val="000000"/>
        </w:rPr>
        <w:t>Contractor must obtain permission from Sabey Data Centers for any construction related to the services being sought.</w:t>
      </w:r>
    </w:p>
    <w:p w14:paraId="47675E0F" w14:textId="77777777" w:rsidR="00374063" w:rsidRPr="00C87979" w:rsidRDefault="00374063" w:rsidP="001F4FD3">
      <w:pPr>
        <w:pStyle w:val="Heading2"/>
        <w:numPr>
          <w:ilvl w:val="0"/>
          <w:numId w:val="49"/>
        </w:numPr>
        <w:tabs>
          <w:tab w:val="num" w:pos="1980"/>
        </w:tabs>
        <w:ind w:left="1980" w:hanging="360"/>
        <w:rPr>
          <w:noProof w:val="0"/>
          <w:color w:val="000000"/>
        </w:rPr>
      </w:pPr>
      <w:r w:rsidRPr="00C87979">
        <w:rPr>
          <w:noProof w:val="0"/>
          <w:color w:val="000000"/>
        </w:rPr>
        <w:t>Contractor must obtain and comply with policies of Sabey for Contractor access to the facility.</w:t>
      </w:r>
    </w:p>
    <w:p w14:paraId="63903C24" w14:textId="77777777" w:rsidR="00374063" w:rsidRPr="00C87979" w:rsidRDefault="00374063" w:rsidP="001F4FD3">
      <w:pPr>
        <w:pStyle w:val="Heading2"/>
        <w:numPr>
          <w:ilvl w:val="0"/>
          <w:numId w:val="49"/>
        </w:numPr>
        <w:tabs>
          <w:tab w:val="num" w:pos="1980"/>
        </w:tabs>
        <w:ind w:left="1980" w:hanging="360"/>
        <w:rPr>
          <w:noProof w:val="0"/>
          <w:color w:val="000000"/>
        </w:rPr>
      </w:pPr>
      <w:r w:rsidRPr="00C87979">
        <w:rPr>
          <w:noProof w:val="0"/>
          <w:color w:val="000000"/>
        </w:rPr>
        <w:t xml:space="preserve">All Services will be delivered into the provider </w:t>
      </w:r>
      <w:r>
        <w:rPr>
          <w:noProof w:val="0"/>
          <w:color w:val="000000"/>
        </w:rPr>
        <w:t>space/meet-</w:t>
      </w:r>
      <w:r w:rsidRPr="00C87979">
        <w:rPr>
          <w:noProof w:val="0"/>
          <w:color w:val="000000"/>
        </w:rPr>
        <w:t>me room.</w:t>
      </w:r>
    </w:p>
    <w:p w14:paraId="2F6010FD" w14:textId="77777777" w:rsidR="00374063" w:rsidRPr="00553103" w:rsidRDefault="000D7C49" w:rsidP="00FE07E0">
      <w:pPr>
        <w:pStyle w:val="Heading2"/>
        <w:numPr>
          <w:ilvl w:val="1"/>
          <w:numId w:val="0"/>
        </w:numPr>
        <w:tabs>
          <w:tab w:val="num" w:pos="1620"/>
        </w:tabs>
        <w:ind w:left="1620" w:hanging="720"/>
      </w:pPr>
      <w:r>
        <w:t>5.8</w:t>
      </w:r>
      <w:r w:rsidR="00374063" w:rsidRPr="00553103">
        <w:t xml:space="preserve"> </w:t>
      </w:r>
      <w:r w:rsidR="00FE07E0" w:rsidRPr="00553103">
        <w:tab/>
      </w:r>
      <w:r w:rsidR="00374063" w:rsidRPr="00553103">
        <w:t>State Data Center</w:t>
      </w:r>
      <w:r w:rsidR="00702671" w:rsidRPr="00553103">
        <w:t xml:space="preserve">(SDC)when </w:t>
      </w:r>
      <w:r w:rsidR="00F708E7" w:rsidRPr="00553103">
        <w:t>SDC is either A-LOC or Z-LOC</w:t>
      </w:r>
    </w:p>
    <w:p w14:paraId="13788092" w14:textId="3040DD3A" w:rsidR="00374063" w:rsidRDefault="00BE1697" w:rsidP="00BE1697">
      <w:pPr>
        <w:pStyle w:val="Heading2"/>
        <w:numPr>
          <w:ilvl w:val="0"/>
          <w:numId w:val="50"/>
        </w:numPr>
        <w:tabs>
          <w:tab w:val="num" w:pos="2340"/>
        </w:tabs>
        <w:ind w:left="1980" w:hanging="360"/>
        <w:rPr>
          <w:noProof w:val="0"/>
          <w:color w:val="000000"/>
        </w:rPr>
      </w:pPr>
      <w:r>
        <w:rPr>
          <w:noProof w:val="0"/>
          <w:color w:val="000000"/>
        </w:rPr>
        <w:t>C</w:t>
      </w:r>
      <w:r w:rsidR="00374063">
        <w:rPr>
          <w:noProof w:val="0"/>
          <w:color w:val="000000"/>
        </w:rPr>
        <w:t xml:space="preserve">ontractor must sign </w:t>
      </w:r>
      <w:r w:rsidR="00061E6E">
        <w:rPr>
          <w:noProof w:val="0"/>
          <w:color w:val="000000"/>
        </w:rPr>
        <w:t>WaTech’s</w:t>
      </w:r>
      <w:r w:rsidR="00374063">
        <w:rPr>
          <w:noProof w:val="0"/>
          <w:color w:val="000000"/>
        </w:rPr>
        <w:t xml:space="preserve"> State Data Center provider space agreement to utilize the provider space.</w:t>
      </w:r>
    </w:p>
    <w:p w14:paraId="10E91F88" w14:textId="77777777" w:rsidR="00374063" w:rsidRPr="00255E95" w:rsidRDefault="00374063" w:rsidP="001F4FD3">
      <w:pPr>
        <w:pStyle w:val="Heading2"/>
        <w:numPr>
          <w:ilvl w:val="0"/>
          <w:numId w:val="50"/>
        </w:numPr>
        <w:tabs>
          <w:tab w:val="num" w:pos="2340"/>
        </w:tabs>
        <w:ind w:left="1980" w:hanging="360"/>
        <w:rPr>
          <w:noProof w:val="0"/>
          <w:color w:val="000000"/>
        </w:rPr>
      </w:pPr>
      <w:r>
        <w:rPr>
          <w:noProof w:val="0"/>
          <w:color w:val="000000"/>
        </w:rPr>
        <w:t>All Services will be delivered into the provider space/meet-me room.</w:t>
      </w:r>
    </w:p>
    <w:p w14:paraId="5A6B6A9D" w14:textId="77777777" w:rsidR="00137D16" w:rsidRPr="00095B83" w:rsidRDefault="00137D16" w:rsidP="00624326">
      <w:pPr>
        <w:pStyle w:val="Heading1"/>
        <w:numPr>
          <w:ilvl w:val="0"/>
          <w:numId w:val="14"/>
        </w:numPr>
      </w:pPr>
      <w:bookmarkStart w:id="15" w:name="_Toc467155060"/>
      <w:bookmarkStart w:id="16" w:name="_Toc472937889"/>
      <w:bookmarkEnd w:id="7"/>
      <w:bookmarkEnd w:id="8"/>
      <w:bookmarkEnd w:id="9"/>
      <w:bookmarkEnd w:id="10"/>
      <w:bookmarkEnd w:id="11"/>
      <w:bookmarkEnd w:id="12"/>
      <w:bookmarkEnd w:id="13"/>
      <w:bookmarkEnd w:id="14"/>
      <w:r w:rsidRPr="00095B83">
        <w:lastRenderedPageBreak/>
        <w:t>Invoices</w:t>
      </w:r>
      <w:bookmarkEnd w:id="15"/>
      <w:bookmarkEnd w:id="16"/>
    </w:p>
    <w:p w14:paraId="65E5EA71" w14:textId="303C5A8B" w:rsidR="00A73B98" w:rsidRDefault="00A73B98" w:rsidP="00A73B98">
      <w:pPr>
        <w:pStyle w:val="Heading2"/>
        <w:numPr>
          <w:ilvl w:val="1"/>
          <w:numId w:val="63"/>
        </w:numPr>
        <w:ind w:left="1620"/>
      </w:pPr>
      <w:r>
        <w:t xml:space="preserve">In addition to the requirements addressed in Section 10 of the </w:t>
      </w:r>
      <w:r w:rsidR="00AE3A6C">
        <w:t>NSA</w:t>
      </w:r>
      <w:r>
        <w:t>, Invoice and Payment, Contractor agrees to the following provisions related to invoices:</w:t>
      </w:r>
    </w:p>
    <w:p w14:paraId="405FCFFC" w14:textId="77777777" w:rsidR="00A73B98" w:rsidRDefault="00A73B98" w:rsidP="0021379C">
      <w:pPr>
        <w:pStyle w:val="Heading2"/>
        <w:numPr>
          <w:ilvl w:val="1"/>
          <w:numId w:val="64"/>
        </w:numPr>
        <w:tabs>
          <w:tab w:val="clear" w:pos="1890"/>
          <w:tab w:val="num" w:pos="2070"/>
        </w:tabs>
        <w:ind w:left="2070" w:hanging="450"/>
      </w:pPr>
      <w:r>
        <w:t>Contractor shall itemize all charges, taxes, and fees per circuit.  In the event of multiple sites, the Contractor must itemize fees per circuit.  This information may be itemized direclty on the invoice or provided as supplemental documentation attached to the invoice as long as the requirements are met.</w:t>
      </w:r>
    </w:p>
    <w:p w14:paraId="36BAD5B5" w14:textId="235FDF2C" w:rsidR="00A73B98" w:rsidRDefault="00A73B98" w:rsidP="0021379C">
      <w:pPr>
        <w:pStyle w:val="Heading2"/>
        <w:numPr>
          <w:ilvl w:val="1"/>
          <w:numId w:val="64"/>
        </w:numPr>
        <w:tabs>
          <w:tab w:val="clear" w:pos="1890"/>
          <w:tab w:val="num" w:pos="2070"/>
        </w:tabs>
        <w:ind w:left="2070" w:hanging="450"/>
      </w:pPr>
      <w:r>
        <w:t xml:space="preserve">All invoices must be delivered as an "E" bill using CSV format as specified by </w:t>
      </w:r>
      <w:r w:rsidR="00061E6E">
        <w:t>WaTech</w:t>
      </w:r>
      <w:r>
        <w:t xml:space="preserve"> as well as a standard paper(pdf) format.</w:t>
      </w:r>
    </w:p>
    <w:p w14:paraId="38A54E75" w14:textId="77777777" w:rsidR="00A73B98" w:rsidRDefault="00A73B98" w:rsidP="0021379C">
      <w:pPr>
        <w:pStyle w:val="Heading2"/>
        <w:numPr>
          <w:ilvl w:val="1"/>
          <w:numId w:val="64"/>
        </w:numPr>
        <w:tabs>
          <w:tab w:val="clear" w:pos="1890"/>
          <w:tab w:val="num" w:pos="2070"/>
        </w:tabs>
        <w:ind w:left="2070" w:hanging="450"/>
      </w:pPr>
      <w:r>
        <w:t>All invoices must include all applicable taxes.</w:t>
      </w:r>
    </w:p>
    <w:p w14:paraId="38BF9FD8" w14:textId="77777777" w:rsidR="00A73B98" w:rsidRPr="00A73B98" w:rsidRDefault="00A73B98" w:rsidP="0021379C">
      <w:pPr>
        <w:pStyle w:val="Heading2"/>
        <w:numPr>
          <w:ilvl w:val="1"/>
          <w:numId w:val="64"/>
        </w:numPr>
        <w:tabs>
          <w:tab w:val="clear" w:pos="1890"/>
          <w:tab w:val="num" w:pos="2070"/>
        </w:tabs>
        <w:ind w:left="2070" w:hanging="450"/>
      </w:pPr>
      <w:r>
        <w:t>Billing shall commence upon Acceptance Date for DS-3 and OC-x circuits. Billing shall commence on the date of circuit delivery for T-1 circuits.</w:t>
      </w:r>
    </w:p>
    <w:p w14:paraId="2A63E3EF" w14:textId="77777777" w:rsidR="00137D16" w:rsidRPr="00095B83" w:rsidRDefault="00A73B98" w:rsidP="00624326">
      <w:pPr>
        <w:pStyle w:val="Heading1"/>
        <w:numPr>
          <w:ilvl w:val="0"/>
          <w:numId w:val="14"/>
        </w:numPr>
      </w:pPr>
      <w:r w:rsidRPr="00C87979" w:rsidDel="00A73B98">
        <w:t xml:space="preserve"> </w:t>
      </w:r>
      <w:bookmarkStart w:id="17" w:name="_Toc467155061"/>
      <w:bookmarkStart w:id="18" w:name="_Toc477777619"/>
      <w:r w:rsidR="00137D16" w:rsidRPr="00095B83">
        <w:t>Technical Requirements</w:t>
      </w:r>
      <w:bookmarkEnd w:id="17"/>
      <w:bookmarkEnd w:id="18"/>
    </w:p>
    <w:p w14:paraId="552BFFB8" w14:textId="77777777" w:rsidR="00D00517" w:rsidRPr="00095B83" w:rsidRDefault="00D00517" w:rsidP="00553103">
      <w:pPr>
        <w:ind w:firstLine="720"/>
        <w:rPr>
          <w:szCs w:val="22"/>
        </w:rPr>
      </w:pPr>
      <w:bookmarkStart w:id="19" w:name="_Toc467155063"/>
      <w:bookmarkStart w:id="20" w:name="_Toc477777620"/>
      <w:bookmarkStart w:id="21" w:name="_Toc467155062"/>
      <w:r w:rsidRPr="00095B83">
        <w:rPr>
          <w:szCs w:val="22"/>
        </w:rPr>
        <w:t xml:space="preserve">Contractor shall provide TDM Data Services to meet the minimum, standards stated herein: </w:t>
      </w:r>
    </w:p>
    <w:p w14:paraId="13FE2304" w14:textId="77777777" w:rsidR="00941674" w:rsidRPr="008F5EF6" w:rsidRDefault="00941674" w:rsidP="00941674">
      <w:pPr>
        <w:pStyle w:val="Heading2"/>
        <w:numPr>
          <w:ilvl w:val="1"/>
          <w:numId w:val="14"/>
        </w:numPr>
        <w:tabs>
          <w:tab w:val="clear" w:pos="1890"/>
          <w:tab w:val="num" w:pos="1620"/>
        </w:tabs>
        <w:ind w:left="1620"/>
        <w:rPr>
          <w:i/>
        </w:rPr>
      </w:pPr>
      <w:r w:rsidRPr="008F5EF6">
        <w:rPr>
          <w:i/>
        </w:rPr>
        <w:t>Service Availability</w:t>
      </w:r>
    </w:p>
    <w:p w14:paraId="17921CE2" w14:textId="77777777" w:rsidR="00941674" w:rsidRDefault="00941674" w:rsidP="00941674">
      <w:pPr>
        <w:pStyle w:val="Heading2"/>
        <w:ind w:left="1800"/>
      </w:pPr>
      <w:r>
        <w:t xml:space="preserve">The service must </w:t>
      </w:r>
      <w:r w:rsidRPr="00C87979">
        <w:t>perform and be available</w:t>
      </w:r>
      <w:r w:rsidRPr="00CB235A">
        <w:t xml:space="preserve"> twenty-four (24) hours per day, three hundred sixty five (365) </w:t>
      </w:r>
      <w:r>
        <w:t>days</w:t>
      </w:r>
      <w:r w:rsidRPr="00CB235A">
        <w:t xml:space="preserve"> per year.</w:t>
      </w:r>
    </w:p>
    <w:p w14:paraId="5B6AC811" w14:textId="77777777" w:rsidR="00941674" w:rsidRPr="00C87979" w:rsidRDefault="00941674" w:rsidP="00941674">
      <w:pPr>
        <w:pStyle w:val="Heading2"/>
        <w:numPr>
          <w:ilvl w:val="1"/>
          <w:numId w:val="14"/>
        </w:numPr>
        <w:tabs>
          <w:tab w:val="clear" w:pos="1890"/>
          <w:tab w:val="num" w:pos="1620"/>
        </w:tabs>
        <w:ind w:left="1620"/>
        <w:rPr>
          <w:i/>
        </w:rPr>
      </w:pPr>
      <w:r w:rsidRPr="00C87979">
        <w:rPr>
          <w:i/>
        </w:rPr>
        <w:t>Equipment Space and Power</w:t>
      </w:r>
    </w:p>
    <w:p w14:paraId="2A8A1655" w14:textId="4159266E" w:rsidR="00941674" w:rsidRPr="00C87979" w:rsidRDefault="00941674" w:rsidP="00D3457C">
      <w:pPr>
        <w:pStyle w:val="Heading2"/>
        <w:numPr>
          <w:ilvl w:val="2"/>
          <w:numId w:val="58"/>
        </w:numPr>
        <w:suppressAutoHyphens/>
        <w:rPr>
          <w:noProof w:val="0"/>
          <w:color w:val="000000"/>
        </w:rPr>
      </w:pPr>
      <w:r w:rsidRPr="00C87979">
        <w:t xml:space="preserve">Contractor shall be responsible for the purchase, installation, configuration, and maintenance of all equipment required to provide Services to </w:t>
      </w:r>
      <w:r w:rsidR="00061E6E">
        <w:t>WaTech</w:t>
      </w:r>
      <w:r w:rsidRPr="00C87979">
        <w:t xml:space="preserve">, </w:t>
      </w:r>
    </w:p>
    <w:p w14:paraId="0E8792C6" w14:textId="77777777" w:rsidR="00941674" w:rsidRPr="00C87979" w:rsidRDefault="00941674" w:rsidP="00D3457C">
      <w:pPr>
        <w:pStyle w:val="Heading2"/>
        <w:numPr>
          <w:ilvl w:val="2"/>
          <w:numId w:val="58"/>
        </w:numPr>
        <w:suppressAutoHyphens/>
        <w:rPr>
          <w:noProof w:val="0"/>
          <w:color w:val="000000"/>
        </w:rPr>
      </w:pPr>
      <w:r w:rsidRPr="00C87979">
        <w:t xml:space="preserve">Following reciept of a SOW, Contractor must disclose whether Contractor owned equipment requires more than one quarter rack space, 20 amperes power, or DC power. If so, Contractor must disclose the technical specifications of the type of equipment to be installed as part of the procurement response. </w:t>
      </w:r>
    </w:p>
    <w:p w14:paraId="02166BE2" w14:textId="49A67F55" w:rsidR="00941674" w:rsidRPr="00C87979" w:rsidRDefault="00941674" w:rsidP="00D3457C">
      <w:pPr>
        <w:pStyle w:val="Heading2"/>
        <w:numPr>
          <w:ilvl w:val="2"/>
          <w:numId w:val="58"/>
        </w:numPr>
        <w:suppressAutoHyphens/>
        <w:rPr>
          <w:noProof w:val="0"/>
          <w:color w:val="000000"/>
        </w:rPr>
      </w:pPr>
      <w:r w:rsidRPr="00C87979">
        <w:t xml:space="preserve">Contractor must utilize dual power feeds to all equipment supporting </w:t>
      </w:r>
      <w:r w:rsidR="00061E6E">
        <w:t>WaTech</w:t>
      </w:r>
      <w:r w:rsidRPr="00C87979">
        <w:t xml:space="preserve"> User Services at the SDC and QDC locations.</w:t>
      </w:r>
    </w:p>
    <w:p w14:paraId="31356830" w14:textId="77777777" w:rsidR="00137D16" w:rsidRPr="00095B83" w:rsidRDefault="00137D16" w:rsidP="00EA56DE">
      <w:pPr>
        <w:pStyle w:val="Heading1"/>
        <w:numPr>
          <w:ilvl w:val="0"/>
          <w:numId w:val="14"/>
        </w:numPr>
      </w:pPr>
      <w:bookmarkStart w:id="22" w:name="_Toc518802847"/>
      <w:bookmarkStart w:id="23" w:name="_Toc519322661"/>
      <w:bookmarkStart w:id="24" w:name="_Toc519494155"/>
      <w:bookmarkStart w:id="25" w:name="_Toc519497599"/>
      <w:bookmarkEnd w:id="22"/>
      <w:bookmarkEnd w:id="23"/>
      <w:bookmarkEnd w:id="24"/>
      <w:bookmarkEnd w:id="25"/>
      <w:r w:rsidRPr="00095B83">
        <w:t>Maintenance</w:t>
      </w:r>
      <w:bookmarkEnd w:id="19"/>
      <w:bookmarkEnd w:id="20"/>
    </w:p>
    <w:p w14:paraId="68EABDEC" w14:textId="77777777" w:rsidR="00137D16" w:rsidRPr="00095B83" w:rsidRDefault="00137D16" w:rsidP="00624326">
      <w:pPr>
        <w:pStyle w:val="Heading2"/>
        <w:tabs>
          <w:tab w:val="left" w:pos="1620"/>
        </w:tabs>
        <w:ind w:left="720"/>
      </w:pPr>
      <w:r w:rsidRPr="00095B83">
        <w:t>Contractor shall perform maintenance consistent with the following:</w:t>
      </w:r>
    </w:p>
    <w:p w14:paraId="1084F854" w14:textId="77777777" w:rsidR="00137D16" w:rsidRPr="00095B83" w:rsidRDefault="00137D16" w:rsidP="00EA56DE">
      <w:pPr>
        <w:pStyle w:val="Heading2"/>
        <w:numPr>
          <w:ilvl w:val="1"/>
          <w:numId w:val="14"/>
        </w:numPr>
        <w:tabs>
          <w:tab w:val="left" w:pos="1620"/>
        </w:tabs>
        <w:ind w:left="1620"/>
      </w:pPr>
      <w:r w:rsidRPr="00095B83">
        <w:t>Contractor shall conduct routine maintenance outside the hours of 6:00 a.m.to 10:00 p.m. Pacific Standard or Daylight Time.</w:t>
      </w:r>
    </w:p>
    <w:p w14:paraId="58377014" w14:textId="4B9E99A3" w:rsidR="00137D16" w:rsidRPr="00095B83" w:rsidRDefault="00137D16" w:rsidP="00EA56DE">
      <w:pPr>
        <w:pStyle w:val="Heading2"/>
        <w:numPr>
          <w:ilvl w:val="1"/>
          <w:numId w:val="14"/>
        </w:numPr>
        <w:tabs>
          <w:tab w:val="left" w:pos="1620"/>
        </w:tabs>
        <w:ind w:left="1620"/>
      </w:pPr>
      <w:r w:rsidRPr="00095B83">
        <w:t>Contr</w:t>
      </w:r>
      <w:r w:rsidR="00FE13E7" w:rsidRPr="00095B83">
        <w:t xml:space="preserve">actor must provide a minimum of </w:t>
      </w:r>
      <w:r w:rsidRPr="00095B83">
        <w:t>seven (7) day</w:t>
      </w:r>
      <w:r w:rsidR="00FE13E7" w:rsidRPr="00095B83">
        <w:t>s</w:t>
      </w:r>
      <w:r w:rsidRPr="00095B83">
        <w:t xml:space="preserve"> notice to </w:t>
      </w:r>
      <w:r w:rsidR="00061E6E">
        <w:t>WaTech</w:t>
      </w:r>
      <w:r w:rsidRPr="00095B83">
        <w:t xml:space="preserve"> prior to performing maintenance which will be service impacting. Notice must be provided to </w:t>
      </w:r>
      <w:hyperlink r:id="rId11" w:history="1">
        <w:r w:rsidR="00C361D1" w:rsidRPr="00095B83">
          <w:rPr>
            <w:u w:val="single"/>
          </w:rPr>
          <w:t>Support@watech.wa.gov</w:t>
        </w:r>
      </w:hyperlink>
      <w:r w:rsidRPr="00095B83">
        <w:t xml:space="preserve"> and </w:t>
      </w:r>
      <w:hyperlink r:id="rId12" w:tgtFrame="_blank" w:tooltip="mailto:noc@watech.wa.gov" w:history="1">
        <w:r w:rsidR="00061E6E">
          <w:rPr>
            <w:rStyle w:val="Hyperlink"/>
          </w:rPr>
          <w:t>NOC@watech.wa.gov</w:t>
        </w:r>
      </w:hyperlink>
      <w:r w:rsidRPr="00095B83">
        <w:t>.</w:t>
      </w:r>
    </w:p>
    <w:p w14:paraId="61D386A1" w14:textId="7799B680" w:rsidR="00137D16" w:rsidRPr="00095B83" w:rsidRDefault="00137D16" w:rsidP="00EA56DE">
      <w:pPr>
        <w:pStyle w:val="Heading2"/>
        <w:numPr>
          <w:ilvl w:val="1"/>
          <w:numId w:val="14"/>
        </w:numPr>
        <w:tabs>
          <w:tab w:val="left" w:pos="1620"/>
        </w:tabs>
        <w:ind w:left="1620"/>
      </w:pPr>
      <w:r w:rsidRPr="00095B83">
        <w:t>Contra</w:t>
      </w:r>
      <w:r w:rsidR="00FE13E7" w:rsidRPr="00095B83">
        <w:t>ctor must provide three (3) days</w:t>
      </w:r>
      <w:r w:rsidRPr="00095B83">
        <w:t xml:space="preserve"> notice to </w:t>
      </w:r>
      <w:r w:rsidR="00061E6E">
        <w:t>WaTech</w:t>
      </w:r>
      <w:r w:rsidRPr="00095B83">
        <w:t xml:space="preserve"> prior to performing maintenance which is not expected to be service impacting.</w:t>
      </w:r>
    </w:p>
    <w:p w14:paraId="0AE0C6C0" w14:textId="77777777" w:rsidR="00137D16" w:rsidRPr="00095B83" w:rsidRDefault="0048336E" w:rsidP="00EA56DE">
      <w:pPr>
        <w:pStyle w:val="Heading2"/>
        <w:numPr>
          <w:ilvl w:val="1"/>
          <w:numId w:val="14"/>
        </w:numPr>
        <w:tabs>
          <w:tab w:val="left" w:pos="1620"/>
        </w:tabs>
        <w:ind w:left="1620"/>
      </w:pPr>
      <w:r w:rsidRPr="00095B83">
        <w:t>For purposes of this section, Service Impacting means the service is degraded and is not operating within the SLA Specifications.</w:t>
      </w:r>
      <w:r w:rsidR="00137D16" w:rsidRPr="00095B83">
        <w:t>.</w:t>
      </w:r>
    </w:p>
    <w:p w14:paraId="6C357BAE" w14:textId="6A0DC34F" w:rsidR="00137D16" w:rsidRPr="00095B83" w:rsidRDefault="00137D16" w:rsidP="00EA56DE">
      <w:pPr>
        <w:pStyle w:val="Heading2"/>
        <w:numPr>
          <w:ilvl w:val="1"/>
          <w:numId w:val="14"/>
        </w:numPr>
        <w:tabs>
          <w:tab w:val="left" w:pos="1620"/>
        </w:tabs>
        <w:ind w:left="1620"/>
      </w:pPr>
      <w:r w:rsidRPr="00095B83">
        <w:t xml:space="preserve">Contractor must defer </w:t>
      </w:r>
      <w:r w:rsidR="004E4DDF" w:rsidRPr="00095B83">
        <w:t>s</w:t>
      </w:r>
      <w:r w:rsidRPr="00095B83">
        <w:t xml:space="preserve">ervice impacting maintenance for up to forty eight (48) hours upon request from </w:t>
      </w:r>
      <w:r w:rsidR="00061E6E">
        <w:t>WaTech</w:t>
      </w:r>
      <w:r w:rsidRPr="00095B83">
        <w:t>.  Requests must be made at a minimum of twenty four (24) hours before the maintenance is scheduled.</w:t>
      </w:r>
    </w:p>
    <w:p w14:paraId="5AD6AA6F" w14:textId="0D037100" w:rsidR="00137D16" w:rsidRPr="00095B83" w:rsidRDefault="00137D16" w:rsidP="00EA56DE">
      <w:pPr>
        <w:pStyle w:val="Heading2"/>
        <w:numPr>
          <w:ilvl w:val="1"/>
          <w:numId w:val="14"/>
        </w:numPr>
        <w:tabs>
          <w:tab w:val="left" w:pos="1620"/>
        </w:tabs>
        <w:ind w:left="1620"/>
      </w:pPr>
      <w:r w:rsidRPr="00095B83">
        <w:lastRenderedPageBreak/>
        <w:t xml:space="preserve">Contractor may undertake Emergency Maintenance during the defined maintenance window and will provide </w:t>
      </w:r>
      <w:r w:rsidR="00061E6E">
        <w:t>WaTech</w:t>
      </w:r>
      <w:r w:rsidRPr="00095B83">
        <w:t xml:space="preserve"> with notice of such Emergency Maintenance as soon as commercially practicable under the circumstances.</w:t>
      </w:r>
    </w:p>
    <w:p w14:paraId="785557A3" w14:textId="6243BBEE" w:rsidR="004606D3" w:rsidRPr="00095B83" w:rsidRDefault="004606D3" w:rsidP="00EA56DE">
      <w:pPr>
        <w:pStyle w:val="Heading2"/>
        <w:numPr>
          <w:ilvl w:val="1"/>
          <w:numId w:val="14"/>
        </w:numPr>
        <w:tabs>
          <w:tab w:val="left" w:pos="1620"/>
        </w:tabs>
        <w:ind w:left="1620"/>
      </w:pPr>
      <w:r w:rsidRPr="00095B83">
        <w:t xml:space="preserve">Notice shall include at a minimum: the </w:t>
      </w:r>
      <w:r w:rsidR="00061E6E">
        <w:t>WaTech</w:t>
      </w:r>
      <w:r w:rsidRPr="00095B83">
        <w:t xml:space="preserve"> Circuit Design Record number;</w:t>
      </w:r>
      <w:r w:rsidR="00BE1697">
        <w:t xml:space="preserve"> </w:t>
      </w:r>
      <w:r w:rsidRPr="00095B83">
        <w:t xml:space="preserve">Site name; Site address (A-LOC and Z-LOC); </w:t>
      </w:r>
      <w:r w:rsidR="000F21B7">
        <w:t>C</w:t>
      </w:r>
      <w:r w:rsidR="000F21B7" w:rsidRPr="00095B83">
        <w:t xml:space="preserve">arrier </w:t>
      </w:r>
      <w:r w:rsidRPr="00095B83">
        <w:t xml:space="preserve">Billing Telephone Number; and carrier circuit ID number. </w:t>
      </w:r>
    </w:p>
    <w:p w14:paraId="7D0FF6F5" w14:textId="77777777" w:rsidR="004606D3" w:rsidRPr="00095B83" w:rsidRDefault="004606D3" w:rsidP="004606D3">
      <w:pPr>
        <w:pStyle w:val="Heading1"/>
        <w:numPr>
          <w:ilvl w:val="0"/>
          <w:numId w:val="14"/>
        </w:numPr>
        <w:suppressAutoHyphens/>
        <w:rPr>
          <w:noProof w:val="0"/>
          <w:color w:val="000000"/>
        </w:rPr>
      </w:pPr>
      <w:bookmarkStart w:id="26" w:name="_Toc478573238"/>
      <w:bookmarkStart w:id="27" w:name="_Toc477777621"/>
      <w:r w:rsidRPr="00095B83">
        <w:rPr>
          <w:noProof w:val="0"/>
          <w:color w:val="000000"/>
        </w:rPr>
        <w:t>Service Repair and Trouble Reporting</w:t>
      </w:r>
      <w:bookmarkEnd w:id="26"/>
    </w:p>
    <w:p w14:paraId="688200D3" w14:textId="3AFFD25B" w:rsidR="004606D3" w:rsidRPr="00095B83" w:rsidRDefault="004606D3" w:rsidP="004606D3">
      <w:pPr>
        <w:pStyle w:val="Heading1para"/>
        <w:rPr>
          <w:szCs w:val="24"/>
        </w:rPr>
      </w:pPr>
      <w:r w:rsidRPr="00095B83">
        <w:rPr>
          <w:szCs w:val="24"/>
        </w:rPr>
        <w:t xml:space="preserve">The following applies to the provisioning of Services to </w:t>
      </w:r>
      <w:r w:rsidR="00061E6E">
        <w:rPr>
          <w:szCs w:val="24"/>
        </w:rPr>
        <w:t>WaTech</w:t>
      </w:r>
      <w:r w:rsidRPr="00095B83">
        <w:rPr>
          <w:szCs w:val="24"/>
        </w:rPr>
        <w:t xml:space="preserve"> and </w:t>
      </w:r>
      <w:r w:rsidR="00061E6E">
        <w:rPr>
          <w:szCs w:val="24"/>
        </w:rPr>
        <w:t>WaTech</w:t>
      </w:r>
      <w:r w:rsidRPr="00095B83">
        <w:rPr>
          <w:szCs w:val="24"/>
        </w:rPr>
        <w:t xml:space="preserve"> Users provided under this Addendum: </w:t>
      </w:r>
    </w:p>
    <w:p w14:paraId="5E66872D" w14:textId="77777777" w:rsidR="004606D3" w:rsidRPr="00095B83" w:rsidRDefault="004606D3" w:rsidP="004606D3">
      <w:pPr>
        <w:pStyle w:val="Heading2"/>
        <w:numPr>
          <w:ilvl w:val="1"/>
          <w:numId w:val="14"/>
        </w:numPr>
        <w:tabs>
          <w:tab w:val="clear" w:pos="1890"/>
          <w:tab w:val="num" w:pos="1620"/>
        </w:tabs>
        <w:ind w:left="1620"/>
        <w:rPr>
          <w:i/>
        </w:rPr>
      </w:pPr>
      <w:r w:rsidRPr="00095B83">
        <w:rPr>
          <w:i/>
        </w:rPr>
        <w:t>Records</w:t>
      </w:r>
    </w:p>
    <w:p w14:paraId="1E5CB21A" w14:textId="05B82C53" w:rsidR="004606D3" w:rsidRPr="00095B83" w:rsidRDefault="004606D3" w:rsidP="004606D3">
      <w:pPr>
        <w:pStyle w:val="Heading2"/>
        <w:numPr>
          <w:ilvl w:val="2"/>
          <w:numId w:val="14"/>
        </w:numPr>
        <w:tabs>
          <w:tab w:val="clear" w:pos="1890"/>
          <w:tab w:val="num" w:pos="1800"/>
        </w:tabs>
        <w:ind w:left="1800"/>
      </w:pPr>
      <w:r w:rsidRPr="00095B83">
        <w:t xml:space="preserve">Contractor shall provide a detailed end to end network diagram for circuits, as requested by </w:t>
      </w:r>
      <w:r w:rsidR="00061E6E">
        <w:t>WaTech</w:t>
      </w:r>
      <w:r w:rsidRPr="00095B83">
        <w:t xml:space="preserve"> using Adobe, Visio or other formats specified by </w:t>
      </w:r>
      <w:r w:rsidR="00061E6E">
        <w:t>WaTech</w:t>
      </w:r>
      <w:r w:rsidRPr="00095B83">
        <w:t>.</w:t>
      </w:r>
    </w:p>
    <w:p w14:paraId="6529405F" w14:textId="717A82B0" w:rsidR="004606D3" w:rsidRPr="00095B83" w:rsidRDefault="004606D3" w:rsidP="004606D3">
      <w:pPr>
        <w:pStyle w:val="Heading2"/>
        <w:numPr>
          <w:ilvl w:val="2"/>
          <w:numId w:val="14"/>
        </w:numPr>
        <w:tabs>
          <w:tab w:val="clear" w:pos="1890"/>
          <w:tab w:val="num" w:pos="1800"/>
        </w:tabs>
        <w:ind w:left="1800"/>
      </w:pPr>
      <w:r w:rsidRPr="00095B83">
        <w:t xml:space="preserve">Contractor will supply all requested records of service within seven (7) days of </w:t>
      </w:r>
      <w:r w:rsidR="00061E6E">
        <w:t>WaTech’s</w:t>
      </w:r>
      <w:r w:rsidRPr="00095B83">
        <w:t xml:space="preserve"> request.</w:t>
      </w:r>
    </w:p>
    <w:p w14:paraId="7A976DCD" w14:textId="77777777" w:rsidR="004606D3" w:rsidRPr="00095B83" w:rsidRDefault="004606D3" w:rsidP="004606D3">
      <w:pPr>
        <w:pStyle w:val="Heading2"/>
        <w:numPr>
          <w:ilvl w:val="1"/>
          <w:numId w:val="14"/>
        </w:numPr>
        <w:tabs>
          <w:tab w:val="clear" w:pos="1890"/>
          <w:tab w:val="num" w:pos="1620"/>
        </w:tabs>
        <w:ind w:left="1620"/>
        <w:rPr>
          <w:i/>
        </w:rPr>
      </w:pPr>
      <w:r w:rsidRPr="00095B83">
        <w:rPr>
          <w:i/>
        </w:rPr>
        <w:t>Response to Trouble Reports</w:t>
      </w:r>
    </w:p>
    <w:p w14:paraId="1E5C43E4" w14:textId="7921CE90" w:rsidR="004606D3" w:rsidRPr="00095B83" w:rsidRDefault="004606D3" w:rsidP="004606D3">
      <w:pPr>
        <w:pStyle w:val="Heading2"/>
        <w:numPr>
          <w:ilvl w:val="2"/>
          <w:numId w:val="14"/>
        </w:numPr>
        <w:tabs>
          <w:tab w:val="clear" w:pos="1890"/>
          <w:tab w:val="num" w:pos="1800"/>
        </w:tabs>
        <w:ind w:left="1800"/>
      </w:pPr>
      <w:r w:rsidRPr="00095B83">
        <w:t xml:space="preserve">Contractor must provide a toll-free trouble reporting number to </w:t>
      </w:r>
      <w:r w:rsidR="00061E6E">
        <w:t>WaTech</w:t>
      </w:r>
      <w:r w:rsidRPr="00095B83">
        <w:t>.</w:t>
      </w:r>
    </w:p>
    <w:p w14:paraId="54A54364" w14:textId="77777777" w:rsidR="004606D3" w:rsidRPr="00095B83" w:rsidRDefault="004606D3" w:rsidP="004606D3">
      <w:pPr>
        <w:pStyle w:val="Heading2"/>
        <w:numPr>
          <w:ilvl w:val="2"/>
          <w:numId w:val="14"/>
        </w:numPr>
        <w:tabs>
          <w:tab w:val="clear" w:pos="1890"/>
          <w:tab w:val="num" w:pos="1800"/>
        </w:tabs>
        <w:ind w:left="1800"/>
      </w:pPr>
      <w:r w:rsidRPr="00095B83">
        <w:t>Contractor must provide support for the Services delivered including twenty four</w:t>
      </w:r>
      <w:r w:rsidR="00AD4B1B">
        <w:t xml:space="preserve"> </w:t>
      </w:r>
      <w:r w:rsidRPr="00095B83">
        <w:t>(24) hours a day, seven (7) days a week, three hundred sixty five (365) days per year call center, monitoring, fault detection, problem isolation, escalation, and restoration management of supported Services, networks, and equipment.</w:t>
      </w:r>
    </w:p>
    <w:p w14:paraId="63172AB1" w14:textId="13759612" w:rsidR="004606D3" w:rsidRPr="00095B83" w:rsidRDefault="00061E6E" w:rsidP="004606D3">
      <w:pPr>
        <w:pStyle w:val="Heading2"/>
        <w:numPr>
          <w:ilvl w:val="2"/>
          <w:numId w:val="14"/>
        </w:numPr>
        <w:tabs>
          <w:tab w:val="clear" w:pos="1890"/>
          <w:tab w:val="num" w:pos="1800"/>
        </w:tabs>
        <w:suppressAutoHyphens/>
        <w:ind w:left="1800"/>
      </w:pPr>
      <w:r>
        <w:t>WaTech</w:t>
      </w:r>
      <w:r w:rsidR="004606D3" w:rsidRPr="00095B83">
        <w:t xml:space="preserve"> shall receive its first response within thirty (30) minutes of placing a Trouble Ticket with the Contractor. For purposes of this section, Trouble Ticket shall mean the ticket notification system Contractor uses for </w:t>
      </w:r>
      <w:r>
        <w:t>WaTech</w:t>
      </w:r>
      <w:r w:rsidR="004606D3" w:rsidRPr="00095B83">
        <w:t xml:space="preserve"> to report incidents and Outages. For purposes of this section, first response shall mean a phone call to </w:t>
      </w:r>
      <w:r>
        <w:t>WaTech</w:t>
      </w:r>
      <w:r w:rsidR="004606D3" w:rsidRPr="00095B83">
        <w:t xml:space="preserve"> Network Operations staff or via email address: </w:t>
      </w:r>
      <w:hyperlink r:id="rId13" w:tgtFrame="_blank" w:tooltip="mailto:noc@watech.wa.gov" w:history="1">
        <w:r>
          <w:rPr>
            <w:rStyle w:val="Hyperlink"/>
          </w:rPr>
          <w:t>NOC@watech.wa.gov</w:t>
        </w:r>
      </w:hyperlink>
    </w:p>
    <w:p w14:paraId="0ACDC090" w14:textId="5AC85613" w:rsidR="004606D3" w:rsidRPr="00095B83" w:rsidRDefault="004606D3" w:rsidP="004606D3">
      <w:pPr>
        <w:pStyle w:val="Heading2"/>
        <w:numPr>
          <w:ilvl w:val="2"/>
          <w:numId w:val="14"/>
        </w:numPr>
        <w:tabs>
          <w:tab w:val="clear" w:pos="1890"/>
          <w:tab w:val="num" w:pos="1800"/>
        </w:tabs>
        <w:suppressAutoHyphens/>
        <w:ind w:left="1800"/>
      </w:pPr>
      <w:r w:rsidRPr="00095B83">
        <w:t xml:space="preserve">Contractor shall provide periodic status report (type of problem, estimated time to repair, Contractor ticket number) to the </w:t>
      </w:r>
      <w:r w:rsidR="00061E6E">
        <w:t>WaTech</w:t>
      </w:r>
      <w:r w:rsidRPr="00095B83">
        <w:t xml:space="preserve"> Network Operations Center for all Service problems and issues. </w:t>
      </w:r>
    </w:p>
    <w:p w14:paraId="12611C3F" w14:textId="202ECDE1" w:rsidR="004606D3" w:rsidRPr="00095B83" w:rsidRDefault="004606D3" w:rsidP="004606D3">
      <w:pPr>
        <w:pStyle w:val="ListParagraph"/>
        <w:numPr>
          <w:ilvl w:val="2"/>
          <w:numId w:val="14"/>
        </w:numPr>
        <w:tabs>
          <w:tab w:val="clear" w:pos="1890"/>
          <w:tab w:val="num" w:pos="1800"/>
        </w:tabs>
        <w:spacing w:before="120"/>
        <w:ind w:left="1800"/>
      </w:pPr>
      <w:r w:rsidRPr="00095B83">
        <w:t xml:space="preserve">Contractor must maintain a repair log listing the date of the repair occurrence, problem found, action taken to resolve the problem, and the total out-of-service time for problems and issues impacting </w:t>
      </w:r>
      <w:r w:rsidR="00061E6E">
        <w:t>WaTech</w:t>
      </w:r>
      <w:r w:rsidRPr="00095B83">
        <w:t>.</w:t>
      </w:r>
    </w:p>
    <w:p w14:paraId="32855EC0" w14:textId="77777777" w:rsidR="004606D3" w:rsidRPr="00095B83" w:rsidRDefault="004606D3" w:rsidP="004606D3">
      <w:pPr>
        <w:pStyle w:val="Heading2"/>
        <w:numPr>
          <w:ilvl w:val="1"/>
          <w:numId w:val="14"/>
        </w:numPr>
        <w:tabs>
          <w:tab w:val="clear" w:pos="1890"/>
          <w:tab w:val="num" w:pos="1620"/>
        </w:tabs>
        <w:ind w:left="1620"/>
        <w:rPr>
          <w:i/>
        </w:rPr>
      </w:pPr>
      <w:r w:rsidRPr="00095B83">
        <w:rPr>
          <w:i/>
        </w:rPr>
        <w:t>Reason for Outage</w:t>
      </w:r>
    </w:p>
    <w:p w14:paraId="4190B8A0" w14:textId="23E623EA" w:rsidR="004606D3" w:rsidRPr="00095B83" w:rsidRDefault="00061E6E" w:rsidP="004606D3">
      <w:pPr>
        <w:pStyle w:val="Heading2"/>
        <w:ind w:left="1530"/>
      </w:pPr>
      <w:r>
        <w:t>WaTech</w:t>
      </w:r>
      <w:r w:rsidR="004606D3" w:rsidRPr="00095B83">
        <w:t xml:space="preserve"> shall receive a Reason for Outage (</w:t>
      </w:r>
      <w:r w:rsidR="00A87C30">
        <w:t>“</w:t>
      </w:r>
      <w:r w:rsidR="004606D3" w:rsidRPr="00095B83">
        <w:t>RFO</w:t>
      </w:r>
      <w:r w:rsidR="00A87C30">
        <w:t>”</w:t>
      </w:r>
      <w:r w:rsidR="004606D3" w:rsidRPr="00095B83">
        <w:t>) as follows:</w:t>
      </w:r>
    </w:p>
    <w:p w14:paraId="6807B9E6" w14:textId="57D03F96" w:rsidR="004606D3" w:rsidRPr="00095B83" w:rsidRDefault="004606D3" w:rsidP="004606D3">
      <w:pPr>
        <w:pStyle w:val="Heading2"/>
        <w:numPr>
          <w:ilvl w:val="2"/>
          <w:numId w:val="14"/>
        </w:numPr>
        <w:tabs>
          <w:tab w:val="clear" w:pos="1890"/>
          <w:tab w:val="num" w:pos="1800"/>
        </w:tabs>
        <w:suppressAutoHyphens/>
        <w:ind w:left="1800"/>
      </w:pPr>
      <w:r w:rsidRPr="00095B83">
        <w:t xml:space="preserve">A preliminary, non-official per incident Reason for Outage (RFO) must be provided by email or by verbal conversation to </w:t>
      </w:r>
      <w:r w:rsidR="00061E6E">
        <w:t>WaTech’s</w:t>
      </w:r>
      <w:r w:rsidRPr="00095B83">
        <w:t xml:space="preserve"> Network Operations Center Technicians within two (2) hours of an incident being resolved.</w:t>
      </w:r>
    </w:p>
    <w:p w14:paraId="0B739C5A" w14:textId="77777777" w:rsidR="004606D3" w:rsidRPr="00095B83" w:rsidRDefault="004606D3" w:rsidP="004606D3">
      <w:pPr>
        <w:pStyle w:val="Heading2"/>
        <w:numPr>
          <w:ilvl w:val="2"/>
          <w:numId w:val="14"/>
        </w:numPr>
        <w:tabs>
          <w:tab w:val="clear" w:pos="1890"/>
          <w:tab w:val="num" w:pos="1800"/>
        </w:tabs>
        <w:suppressAutoHyphens/>
        <w:ind w:left="1800"/>
      </w:pPr>
      <w:r w:rsidRPr="00095B83">
        <w:t>Major incidents that result in a breach of Service Level performance minimums, Contractor must provide an official RFO within seven (7) days, unless otherwise negotiated, after the incident causing the Outage is resolved.</w:t>
      </w:r>
    </w:p>
    <w:p w14:paraId="6D41DC78" w14:textId="77777777" w:rsidR="004606D3" w:rsidRPr="00095B83" w:rsidRDefault="004606D3" w:rsidP="004606D3">
      <w:pPr>
        <w:pStyle w:val="Heading2"/>
        <w:numPr>
          <w:ilvl w:val="1"/>
          <w:numId w:val="14"/>
        </w:numPr>
        <w:tabs>
          <w:tab w:val="clear" w:pos="1890"/>
          <w:tab w:val="num" w:pos="1620"/>
        </w:tabs>
        <w:ind w:left="1620"/>
        <w:rPr>
          <w:i/>
        </w:rPr>
      </w:pPr>
      <w:r w:rsidRPr="00095B83">
        <w:rPr>
          <w:i/>
        </w:rPr>
        <w:t>End-to-End Service Monitoring and Test Capability</w:t>
      </w:r>
    </w:p>
    <w:p w14:paraId="12B3D524" w14:textId="77777777" w:rsidR="00137D16" w:rsidRPr="00095B83" w:rsidRDefault="004606D3" w:rsidP="00624326">
      <w:pPr>
        <w:pStyle w:val="Heading1para"/>
        <w:numPr>
          <w:ilvl w:val="0"/>
          <w:numId w:val="23"/>
        </w:numPr>
        <w:contextualSpacing/>
        <w:rPr>
          <w:szCs w:val="22"/>
        </w:rPr>
      </w:pPr>
      <w:r w:rsidRPr="00095B83">
        <w:lastRenderedPageBreak/>
        <w:t>Contractor must have the capability of monitoring the service end-to-end and shall perform remote site testing as necessary to troubleshoot Service problems and issues.</w:t>
      </w:r>
      <w:bookmarkEnd w:id="21"/>
      <w:bookmarkEnd w:id="27"/>
    </w:p>
    <w:p w14:paraId="18048F23" w14:textId="77777777" w:rsidR="00137D16" w:rsidRPr="00095B83" w:rsidRDefault="00137D16" w:rsidP="00B3500F">
      <w:pPr>
        <w:pStyle w:val="Heading1"/>
        <w:numPr>
          <w:ilvl w:val="0"/>
          <w:numId w:val="14"/>
        </w:numPr>
      </w:pPr>
      <w:bookmarkStart w:id="28" w:name="_Toc467155066"/>
      <w:bookmarkStart w:id="29" w:name="_Toc477777622"/>
      <w:r w:rsidRPr="00095B83">
        <w:t xml:space="preserve">Service Level </w:t>
      </w:r>
      <w:bookmarkEnd w:id="28"/>
      <w:r w:rsidRPr="00095B83">
        <w:t>Remedies</w:t>
      </w:r>
      <w:bookmarkEnd w:id="29"/>
      <w:r w:rsidRPr="00095B83">
        <w:t xml:space="preserve">  </w:t>
      </w:r>
    </w:p>
    <w:p w14:paraId="01F3E904" w14:textId="77777777" w:rsidR="004606D3" w:rsidRPr="00095B83" w:rsidRDefault="004606D3" w:rsidP="004606D3">
      <w:pPr>
        <w:pStyle w:val="Heading1para"/>
        <w:rPr>
          <w:szCs w:val="24"/>
        </w:rPr>
      </w:pPr>
      <w:bookmarkStart w:id="30" w:name="_Toc467155067"/>
      <w:bookmarkStart w:id="31" w:name="_Toc472937894"/>
      <w:r w:rsidRPr="00095B83">
        <w:rPr>
          <w:szCs w:val="24"/>
        </w:rPr>
        <w:t>In addition to the terms set forth in this Contract, Contractor shall use best efforts to perform the Services in accordance with the Service Level Agreements, as set forth in herein.</w:t>
      </w:r>
    </w:p>
    <w:p w14:paraId="053EF3E2" w14:textId="415751AA" w:rsidR="004606D3" w:rsidRPr="00095B83" w:rsidRDefault="004606D3" w:rsidP="004606D3">
      <w:pPr>
        <w:pStyle w:val="Heading1para"/>
        <w:rPr>
          <w:szCs w:val="24"/>
        </w:rPr>
      </w:pPr>
      <w:r w:rsidRPr="00095B83">
        <w:rPr>
          <w:szCs w:val="24"/>
        </w:rPr>
        <w:t>In the event of any failure by Contractor to perform the Services in accordance with the Service Level Agreement (</w:t>
      </w:r>
      <w:r w:rsidR="00A87C30">
        <w:rPr>
          <w:szCs w:val="24"/>
        </w:rPr>
        <w:t>“</w:t>
      </w:r>
      <w:r w:rsidRPr="00095B83">
        <w:rPr>
          <w:szCs w:val="24"/>
        </w:rPr>
        <w:t>SLA</w:t>
      </w:r>
      <w:r w:rsidR="00A87C30">
        <w:rPr>
          <w:szCs w:val="24"/>
        </w:rPr>
        <w:t>”</w:t>
      </w:r>
      <w:r w:rsidRPr="00095B83">
        <w:rPr>
          <w:szCs w:val="24"/>
        </w:rPr>
        <w:t xml:space="preserve">), the Contract, and this Technical addendum, </w:t>
      </w:r>
      <w:r w:rsidR="00061E6E">
        <w:rPr>
          <w:szCs w:val="24"/>
        </w:rPr>
        <w:t>WaTech</w:t>
      </w:r>
      <w:r w:rsidRPr="00095B83">
        <w:rPr>
          <w:szCs w:val="24"/>
        </w:rPr>
        <w:t xml:space="preserve"> shall have a Service Availability Credit in the amount determined pursuant to the Contract, and this Technical addendum, including the percentages stated in the </w:t>
      </w:r>
      <w:r w:rsidR="00A87C30">
        <w:rPr>
          <w:szCs w:val="24"/>
        </w:rPr>
        <w:t>“</w:t>
      </w:r>
      <w:r w:rsidRPr="00095B83">
        <w:rPr>
          <w:szCs w:val="24"/>
        </w:rPr>
        <w:t>Service Level Credits</w:t>
      </w:r>
      <w:r w:rsidR="00A87C30">
        <w:rPr>
          <w:szCs w:val="24"/>
        </w:rPr>
        <w:t>”</w:t>
      </w:r>
      <w:r w:rsidRPr="00095B83">
        <w:rPr>
          <w:szCs w:val="24"/>
        </w:rPr>
        <w:t xml:space="preserve"> section below which </w:t>
      </w:r>
      <w:r w:rsidR="00061E6E">
        <w:rPr>
          <w:szCs w:val="24"/>
        </w:rPr>
        <w:t>WaTech</w:t>
      </w:r>
      <w:r w:rsidRPr="00095B83">
        <w:rPr>
          <w:szCs w:val="24"/>
        </w:rPr>
        <w:t xml:space="preserve"> may apply against payment of the fees and charges payable by the </w:t>
      </w:r>
      <w:r w:rsidR="00061E6E">
        <w:rPr>
          <w:szCs w:val="24"/>
        </w:rPr>
        <w:t>WaTech</w:t>
      </w:r>
      <w:r w:rsidRPr="00095B83">
        <w:rPr>
          <w:szCs w:val="24"/>
        </w:rPr>
        <w:t xml:space="preserve"> to Contractor in a subsequent calendar month; provided that such credit shall not exceed the amount paid or payable by </w:t>
      </w:r>
      <w:r w:rsidR="00061E6E">
        <w:rPr>
          <w:szCs w:val="24"/>
        </w:rPr>
        <w:t>WaTech</w:t>
      </w:r>
      <w:r w:rsidRPr="00095B83">
        <w:rPr>
          <w:szCs w:val="24"/>
        </w:rPr>
        <w:t xml:space="preserve"> to Contractor during the period or periods in which the Service Level Agreements were not met.</w:t>
      </w:r>
    </w:p>
    <w:p w14:paraId="5B1EC5C5" w14:textId="5DABE902" w:rsidR="004606D3" w:rsidRPr="00095B83" w:rsidRDefault="004606D3" w:rsidP="004606D3">
      <w:pPr>
        <w:pStyle w:val="Heading1para"/>
        <w:rPr>
          <w:szCs w:val="24"/>
        </w:rPr>
      </w:pPr>
      <w:proofErr w:type="gramStart"/>
      <w:r w:rsidRPr="00095B83">
        <w:rPr>
          <w:szCs w:val="24"/>
        </w:rPr>
        <w:t>In the event that</w:t>
      </w:r>
      <w:proofErr w:type="gramEnd"/>
      <w:r w:rsidRPr="00095B83">
        <w:rPr>
          <w:szCs w:val="24"/>
        </w:rPr>
        <w:t xml:space="preserve"> this Contract expires or terminates, Contractor shall pay an amount equal to any unused credits to </w:t>
      </w:r>
      <w:r w:rsidR="00061E6E">
        <w:rPr>
          <w:szCs w:val="24"/>
        </w:rPr>
        <w:t>WaTech</w:t>
      </w:r>
      <w:r w:rsidRPr="00095B83">
        <w:rPr>
          <w:szCs w:val="24"/>
        </w:rPr>
        <w:t xml:space="preserve"> within thirty (30) days after such termination or expiration.</w:t>
      </w:r>
    </w:p>
    <w:p w14:paraId="46960EE4" w14:textId="5D45928E" w:rsidR="004606D3" w:rsidRPr="00095B83" w:rsidRDefault="004606D3" w:rsidP="004606D3">
      <w:pPr>
        <w:pStyle w:val="Heading1para"/>
        <w:rPr>
          <w:szCs w:val="24"/>
        </w:rPr>
      </w:pPr>
      <w:r w:rsidRPr="00095B83">
        <w:rPr>
          <w:szCs w:val="24"/>
        </w:rPr>
        <w:t xml:space="preserve">The Parties acknowledge and agree that, because of the unique nature of the Services contemplated by this Contract, it is difficult or impossible to determine with precision the specific </w:t>
      </w:r>
      <w:proofErr w:type="gramStart"/>
      <w:r w:rsidRPr="00095B83">
        <w:rPr>
          <w:szCs w:val="24"/>
        </w:rPr>
        <w:t>amount</w:t>
      </w:r>
      <w:proofErr w:type="gramEnd"/>
      <w:r w:rsidRPr="00095B83">
        <w:rPr>
          <w:szCs w:val="24"/>
        </w:rPr>
        <w:t xml:space="preserve"> of damages that might be incurred by </w:t>
      </w:r>
      <w:r w:rsidR="00061E6E">
        <w:rPr>
          <w:szCs w:val="24"/>
        </w:rPr>
        <w:t>WaTech</w:t>
      </w:r>
      <w:r w:rsidRPr="00095B83">
        <w:rPr>
          <w:szCs w:val="24"/>
        </w:rPr>
        <w:t xml:space="preserve"> or any </w:t>
      </w:r>
      <w:r w:rsidR="00061E6E">
        <w:rPr>
          <w:szCs w:val="24"/>
        </w:rPr>
        <w:t>WaTech</w:t>
      </w:r>
      <w:r w:rsidRPr="00095B83">
        <w:rPr>
          <w:szCs w:val="24"/>
        </w:rPr>
        <w:t xml:space="preserve"> User as a result of a failure of Contractor to meet the Service Level Agreements.</w:t>
      </w:r>
    </w:p>
    <w:p w14:paraId="05C626CF" w14:textId="11311F7A" w:rsidR="004606D3" w:rsidRPr="00095B83" w:rsidRDefault="004606D3" w:rsidP="004606D3">
      <w:pPr>
        <w:pStyle w:val="Heading1para"/>
        <w:rPr>
          <w:szCs w:val="24"/>
        </w:rPr>
      </w:pPr>
      <w:r w:rsidRPr="00095B83">
        <w:rPr>
          <w:szCs w:val="24"/>
        </w:rPr>
        <w:t xml:space="preserve">It is further understood and agreed by the Parties that </w:t>
      </w:r>
      <w:r w:rsidR="00061E6E">
        <w:rPr>
          <w:szCs w:val="24"/>
        </w:rPr>
        <w:t>WaTech</w:t>
      </w:r>
      <w:r w:rsidRPr="00095B83">
        <w:rPr>
          <w:szCs w:val="24"/>
        </w:rPr>
        <w:t xml:space="preserve"> shall be damaged by such failure of Contractor to meet the Service Level Agreements, and that any credits that become payable </w:t>
      </w:r>
      <w:proofErr w:type="gramStart"/>
      <w:r w:rsidRPr="00095B83">
        <w:rPr>
          <w:szCs w:val="24"/>
        </w:rPr>
        <w:t>in the nature of Service</w:t>
      </w:r>
      <w:proofErr w:type="gramEnd"/>
      <w:r w:rsidRPr="00095B83">
        <w:rPr>
          <w:szCs w:val="24"/>
        </w:rPr>
        <w:t xml:space="preserve"> Credits are not penalties, are fair and reasonable under the circumstances, and that such payments represent a reasonable estimate of fair compensation.</w:t>
      </w:r>
    </w:p>
    <w:p w14:paraId="1DCB8ED8" w14:textId="77777777" w:rsidR="004606D3" w:rsidRPr="00095B83" w:rsidRDefault="004606D3" w:rsidP="004606D3">
      <w:pPr>
        <w:pStyle w:val="Heading1para"/>
        <w:rPr>
          <w:szCs w:val="24"/>
        </w:rPr>
      </w:pPr>
      <w:r w:rsidRPr="00095B83">
        <w:rPr>
          <w:szCs w:val="24"/>
        </w:rPr>
        <w:t>Service Level Credits shall be applied to the account within two billing cycles from which the month that the Outage or excessive Schedule Maintenance event(s) occurred.  Award of the credit in no way relieves the Contractor of responsibility to correct any Outage event condition(s) and does not constitute an exclusive remedy for such Outage condition(s).</w:t>
      </w:r>
    </w:p>
    <w:p w14:paraId="2533BE6D" w14:textId="45D89CEC" w:rsidR="004606D3" w:rsidRPr="00095B83" w:rsidRDefault="004606D3" w:rsidP="004606D3">
      <w:pPr>
        <w:pStyle w:val="Heading1para"/>
        <w:rPr>
          <w:szCs w:val="24"/>
        </w:rPr>
      </w:pPr>
      <w:r w:rsidRPr="00095B83">
        <w:rPr>
          <w:szCs w:val="24"/>
        </w:rPr>
        <w:t xml:space="preserve">Service Level Credits shall constitute the sole remedy for </w:t>
      </w:r>
      <w:r w:rsidR="00061E6E">
        <w:rPr>
          <w:szCs w:val="24"/>
        </w:rPr>
        <w:t>WaTech</w:t>
      </w:r>
      <w:r w:rsidRPr="00095B83">
        <w:rPr>
          <w:szCs w:val="24"/>
        </w:rPr>
        <w:t xml:space="preserve"> with respect to Contractor’s failure to meet Performance Minimums so long as the Performance Minimums are not Chronic. If the Service falls below this expectation, then </w:t>
      </w:r>
      <w:r w:rsidR="00061E6E">
        <w:rPr>
          <w:szCs w:val="24"/>
        </w:rPr>
        <w:t>WaTech</w:t>
      </w:r>
      <w:r w:rsidRPr="00095B83">
        <w:rPr>
          <w:szCs w:val="24"/>
        </w:rPr>
        <w:t xml:space="preserve"> may pursue </w:t>
      </w:r>
      <w:proofErr w:type="gramStart"/>
      <w:r w:rsidRPr="00095B83">
        <w:rPr>
          <w:szCs w:val="24"/>
        </w:rPr>
        <w:t>any and all</w:t>
      </w:r>
      <w:proofErr w:type="gramEnd"/>
      <w:r w:rsidRPr="00095B83">
        <w:rPr>
          <w:szCs w:val="24"/>
        </w:rPr>
        <w:t xml:space="preserve"> legal remedies.</w:t>
      </w:r>
      <w:r w:rsidRPr="00095B83">
        <w:rPr>
          <w:szCs w:val="24"/>
          <w:highlight w:val="yellow"/>
        </w:rPr>
        <w:t xml:space="preserve"> </w:t>
      </w:r>
    </w:p>
    <w:p w14:paraId="4D1D19CA" w14:textId="50CED00A" w:rsidR="00D035A6" w:rsidRDefault="00061E6E" w:rsidP="00D3457C">
      <w:pPr>
        <w:pStyle w:val="Heading2"/>
        <w:tabs>
          <w:tab w:val="left" w:pos="1620"/>
        </w:tabs>
        <w:ind w:left="720"/>
      </w:pPr>
      <w:r>
        <w:rPr>
          <w:szCs w:val="24"/>
        </w:rPr>
        <w:t>WaTech’s</w:t>
      </w:r>
      <w:r w:rsidR="004606D3" w:rsidRPr="00095B83">
        <w:rPr>
          <w:szCs w:val="24"/>
        </w:rPr>
        <w:t xml:space="preserve"> retains the right to terminate this Contract in accordance with its terms, whether pursuant to failure to perform in accordance with the Service Level Agreements or otherwise</w:t>
      </w:r>
      <w:bookmarkEnd w:id="30"/>
      <w:bookmarkEnd w:id="31"/>
      <w:r w:rsidR="00D035A6" w:rsidRPr="00095B83">
        <w:t xml:space="preserve">. </w:t>
      </w:r>
    </w:p>
    <w:p w14:paraId="70732B14" w14:textId="77777777" w:rsidR="00B14219" w:rsidRPr="009F2DB7" w:rsidRDefault="00B14219" w:rsidP="001F4FD3">
      <w:pPr>
        <w:pStyle w:val="Heading1"/>
        <w:numPr>
          <w:ilvl w:val="0"/>
          <w:numId w:val="14"/>
        </w:numPr>
      </w:pPr>
      <w:bookmarkStart w:id="32" w:name="_Toc467155070"/>
      <w:bookmarkStart w:id="33" w:name="_Toc472937897"/>
      <w:bookmarkStart w:id="34" w:name="_Toc478573240"/>
      <w:r w:rsidRPr="009F2DB7">
        <w:t>Service Level Breach Reporting</w:t>
      </w:r>
      <w:bookmarkEnd w:id="32"/>
      <w:bookmarkEnd w:id="33"/>
      <w:bookmarkEnd w:id="34"/>
    </w:p>
    <w:p w14:paraId="0D489029" w14:textId="7F63B6E3" w:rsidR="00B14219" w:rsidRPr="00C633FC" w:rsidRDefault="00B14219" w:rsidP="00B14219">
      <w:pPr>
        <w:pStyle w:val="Heading1para"/>
        <w:rPr>
          <w:szCs w:val="24"/>
        </w:rPr>
      </w:pPr>
      <w:bookmarkStart w:id="35" w:name="_Toc472937898"/>
      <w:bookmarkStart w:id="36" w:name="_Toc467155071"/>
      <w:r w:rsidRPr="00C633FC">
        <w:rPr>
          <w:szCs w:val="24"/>
        </w:rPr>
        <w:t xml:space="preserve">The Contractor represents it shall proactively report its own SLA breaches within two billing cycles from the event that invoked the SLA credit provisions herein. Such </w:t>
      </w:r>
      <w:r w:rsidRPr="00C87979">
        <w:rPr>
          <w:szCs w:val="24"/>
        </w:rPr>
        <w:t>report</w:t>
      </w:r>
      <w:r>
        <w:rPr>
          <w:szCs w:val="24"/>
        </w:rPr>
        <w:t>s</w:t>
      </w:r>
      <w:r w:rsidRPr="00C633FC">
        <w:rPr>
          <w:szCs w:val="24"/>
        </w:rPr>
        <w:t xml:space="preserve"> shall be provided to the named </w:t>
      </w:r>
      <w:r w:rsidR="00061E6E">
        <w:rPr>
          <w:szCs w:val="24"/>
        </w:rPr>
        <w:t>WaTech</w:t>
      </w:r>
      <w:r w:rsidRPr="00C633FC">
        <w:rPr>
          <w:szCs w:val="24"/>
        </w:rPr>
        <w:t xml:space="preserve"> Contract Manager in this Technical Addendum and shall be provided in writing.</w:t>
      </w:r>
      <w:bookmarkEnd w:id="35"/>
    </w:p>
    <w:p w14:paraId="33CF2BF8" w14:textId="6E89C277" w:rsidR="00B14219" w:rsidRDefault="00061E6E" w:rsidP="00B14219">
      <w:pPr>
        <w:pStyle w:val="Heading1para"/>
        <w:rPr>
          <w:szCs w:val="24"/>
        </w:rPr>
      </w:pPr>
      <w:bookmarkStart w:id="37" w:name="_Toc472937899"/>
      <w:r>
        <w:rPr>
          <w:szCs w:val="24"/>
        </w:rPr>
        <w:t>WaTech</w:t>
      </w:r>
      <w:r w:rsidR="00B14219" w:rsidRPr="00C633FC">
        <w:rPr>
          <w:szCs w:val="24"/>
        </w:rPr>
        <w:t xml:space="preserve"> will continue to monitor service levels independent of the Contractor’s </w:t>
      </w:r>
      <w:proofErr w:type="spellStart"/>
      <w:r w:rsidR="00B14219" w:rsidRPr="00C633FC">
        <w:rPr>
          <w:szCs w:val="24"/>
        </w:rPr>
        <w:t xml:space="preserve">self </w:t>
      </w:r>
      <w:r w:rsidR="00B14219" w:rsidRPr="000F6C68">
        <w:rPr>
          <w:szCs w:val="24"/>
        </w:rPr>
        <w:t>reporting</w:t>
      </w:r>
      <w:proofErr w:type="spellEnd"/>
      <w:r w:rsidR="00B14219" w:rsidRPr="00C633FC">
        <w:rPr>
          <w:szCs w:val="24"/>
        </w:rPr>
        <w:t xml:space="preserve"> through monitoring the </w:t>
      </w:r>
      <w:r>
        <w:rPr>
          <w:szCs w:val="24"/>
        </w:rPr>
        <w:t>WaTech</w:t>
      </w:r>
      <w:r w:rsidR="00B14219">
        <w:rPr>
          <w:szCs w:val="24"/>
        </w:rPr>
        <w:t xml:space="preserve"> or </w:t>
      </w:r>
      <w:r>
        <w:rPr>
          <w:szCs w:val="24"/>
        </w:rPr>
        <w:t>WaTech</w:t>
      </w:r>
      <w:r w:rsidR="00B14219">
        <w:rPr>
          <w:szCs w:val="24"/>
        </w:rPr>
        <w:t xml:space="preserve"> Users’ </w:t>
      </w:r>
      <w:r w:rsidR="00B14219" w:rsidRPr="00C633FC">
        <w:rPr>
          <w:szCs w:val="24"/>
        </w:rPr>
        <w:t xml:space="preserve">tickets opened with the Contractor. In the event </w:t>
      </w:r>
      <w:r>
        <w:rPr>
          <w:szCs w:val="24"/>
        </w:rPr>
        <w:t>WaTech</w:t>
      </w:r>
      <w:r w:rsidR="00B14219" w:rsidRPr="00C633FC">
        <w:rPr>
          <w:szCs w:val="24"/>
        </w:rPr>
        <w:t xml:space="preserve"> finds a breach that the Contractor did not report, </w:t>
      </w:r>
      <w:r w:rsidR="00B14219" w:rsidRPr="00C87979">
        <w:rPr>
          <w:szCs w:val="24"/>
        </w:rPr>
        <w:t xml:space="preserve">the SLA credits shall be three (3) times the calculated and owed amount to cover the cost of auditing </w:t>
      </w:r>
      <w:proofErr w:type="gramStart"/>
      <w:r w:rsidR="00B14219" w:rsidRPr="00C87979">
        <w:rPr>
          <w:szCs w:val="24"/>
        </w:rPr>
        <w:t>SLA's</w:t>
      </w:r>
      <w:proofErr w:type="gramEnd"/>
      <w:r w:rsidR="00B14219" w:rsidRPr="00C87979">
        <w:rPr>
          <w:szCs w:val="24"/>
        </w:rPr>
        <w:t xml:space="preserve"> internally. The credits must appear on the </w:t>
      </w:r>
      <w:r>
        <w:rPr>
          <w:szCs w:val="24"/>
        </w:rPr>
        <w:t>WaTech</w:t>
      </w:r>
      <w:r w:rsidR="00B14219" w:rsidRPr="00C87979">
        <w:rPr>
          <w:szCs w:val="24"/>
        </w:rPr>
        <w:t xml:space="preserve"> billing within two (2) billing cycles from the notification of the finding from </w:t>
      </w:r>
      <w:r>
        <w:rPr>
          <w:szCs w:val="24"/>
        </w:rPr>
        <w:t>WaTech</w:t>
      </w:r>
      <w:r w:rsidR="00B14219" w:rsidRPr="00C87979">
        <w:rPr>
          <w:szCs w:val="24"/>
        </w:rPr>
        <w:t xml:space="preserve"> to the Contractor.  </w:t>
      </w:r>
      <w:r>
        <w:rPr>
          <w:szCs w:val="24"/>
        </w:rPr>
        <w:t>WaTech</w:t>
      </w:r>
      <w:r w:rsidR="00B14219" w:rsidRPr="00C87979">
        <w:rPr>
          <w:szCs w:val="24"/>
        </w:rPr>
        <w:t xml:space="preserve"> reserves the right to review up to the past twelve months of tickets for this section.</w:t>
      </w:r>
      <w:bookmarkEnd w:id="37"/>
      <w:r w:rsidR="00B14219" w:rsidRPr="00C87979">
        <w:rPr>
          <w:szCs w:val="24"/>
        </w:rPr>
        <w:t xml:space="preserve"> </w:t>
      </w:r>
      <w:bookmarkEnd w:id="36"/>
    </w:p>
    <w:p w14:paraId="2DD68FFA" w14:textId="33064300" w:rsidR="00B14219" w:rsidRPr="00C87979" w:rsidRDefault="00B14219" w:rsidP="00B14219">
      <w:pPr>
        <w:pStyle w:val="Heading1para"/>
        <w:rPr>
          <w:szCs w:val="24"/>
        </w:rPr>
      </w:pPr>
      <w:r w:rsidRPr="00C87979">
        <w:rPr>
          <w:szCs w:val="24"/>
        </w:rPr>
        <w:lastRenderedPageBreak/>
        <w:t xml:space="preserve">The Parties acknowledge and agree that, because of the unique nature of the Services contemplated by this SOW, it is difficult or impossible to determine with precision the specific </w:t>
      </w:r>
      <w:proofErr w:type="gramStart"/>
      <w:r w:rsidRPr="00C87979">
        <w:rPr>
          <w:szCs w:val="24"/>
        </w:rPr>
        <w:t>amount</w:t>
      </w:r>
      <w:proofErr w:type="gramEnd"/>
      <w:r w:rsidRPr="00C87979">
        <w:rPr>
          <w:szCs w:val="24"/>
        </w:rPr>
        <w:t xml:space="preserve"> of damages that might be incur</w:t>
      </w:r>
      <w:r>
        <w:rPr>
          <w:szCs w:val="24"/>
        </w:rPr>
        <w:t xml:space="preserve">red by </w:t>
      </w:r>
      <w:r w:rsidR="00061E6E">
        <w:rPr>
          <w:szCs w:val="24"/>
        </w:rPr>
        <w:t>WaTech</w:t>
      </w:r>
      <w:r>
        <w:rPr>
          <w:szCs w:val="24"/>
        </w:rPr>
        <w:t xml:space="preserve"> or any </w:t>
      </w:r>
      <w:r w:rsidR="00061E6E">
        <w:rPr>
          <w:szCs w:val="24"/>
        </w:rPr>
        <w:t>WaTech</w:t>
      </w:r>
      <w:r>
        <w:rPr>
          <w:szCs w:val="24"/>
        </w:rPr>
        <w:t xml:space="preserve"> User as a </w:t>
      </w:r>
      <w:r w:rsidRPr="00C87979">
        <w:rPr>
          <w:szCs w:val="24"/>
        </w:rPr>
        <w:t>result of a failure of Contractor to meet the Service Level Agreements.</w:t>
      </w:r>
    </w:p>
    <w:p w14:paraId="1B5E3D38" w14:textId="040DA10E" w:rsidR="00B14219" w:rsidRPr="00C633FC" w:rsidRDefault="00B14219" w:rsidP="00B14219">
      <w:pPr>
        <w:pStyle w:val="Heading1para"/>
        <w:rPr>
          <w:szCs w:val="24"/>
        </w:rPr>
      </w:pPr>
      <w:r w:rsidRPr="00C87979">
        <w:rPr>
          <w:szCs w:val="24"/>
        </w:rPr>
        <w:t xml:space="preserve">It is further understood and agreed by the Parties that </w:t>
      </w:r>
      <w:r w:rsidR="00061E6E">
        <w:rPr>
          <w:szCs w:val="24"/>
        </w:rPr>
        <w:t>WaTech</w:t>
      </w:r>
      <w:r w:rsidRPr="00C87979">
        <w:rPr>
          <w:szCs w:val="24"/>
        </w:rPr>
        <w:t xml:space="preserve"> shall be damaged by such failure of Contractor to meet the </w:t>
      </w:r>
      <w:r>
        <w:rPr>
          <w:szCs w:val="24"/>
        </w:rPr>
        <w:t>Service Level</w:t>
      </w:r>
      <w:r w:rsidRPr="00C87979">
        <w:rPr>
          <w:szCs w:val="24"/>
        </w:rPr>
        <w:t xml:space="preserve"> and that any remedies that become payable under this section are not penalties, are fair and reasonable under the circumstances, and that such payments represent a reasonable estimate of fair compensation.</w:t>
      </w:r>
    </w:p>
    <w:p w14:paraId="095F4731" w14:textId="77777777" w:rsidR="00137D16" w:rsidRPr="00095B83" w:rsidRDefault="00137D16" w:rsidP="00B3500F">
      <w:pPr>
        <w:pStyle w:val="Heading1"/>
        <w:numPr>
          <w:ilvl w:val="0"/>
          <w:numId w:val="14"/>
        </w:numPr>
      </w:pPr>
      <w:bookmarkStart w:id="38" w:name="_Toc472937900"/>
      <w:bookmarkStart w:id="39" w:name="_Toc477777624"/>
      <w:r w:rsidRPr="00095B83">
        <w:t>Service Level Performance Minimums</w:t>
      </w:r>
      <w:bookmarkEnd w:id="38"/>
      <w:bookmarkEnd w:id="39"/>
    </w:p>
    <w:p w14:paraId="273ADEF8" w14:textId="77777777" w:rsidR="00137D16" w:rsidRPr="00095B83" w:rsidRDefault="00137D16" w:rsidP="00D66CB0">
      <w:pPr>
        <w:pStyle w:val="Heading2"/>
        <w:tabs>
          <w:tab w:val="left" w:pos="1620"/>
        </w:tabs>
        <w:ind w:left="720"/>
      </w:pPr>
      <w:bookmarkStart w:id="40" w:name="_Toc472937901"/>
      <w:r w:rsidRPr="00095B83">
        <w:t>Service shall be provisioned at the following Performance Minimum levels set forth below.  The failure to meet Performance Minimums shall result in a five (5) percent Service Level Credit(s) for the affected Products and Services unless otherwise defined herein.</w:t>
      </w:r>
    </w:p>
    <w:p w14:paraId="1888A477" w14:textId="77777777" w:rsidR="00137D16" w:rsidRPr="00095B83" w:rsidRDefault="00137D16" w:rsidP="00BE1697">
      <w:pPr>
        <w:pStyle w:val="Heading2"/>
        <w:tabs>
          <w:tab w:val="left" w:pos="1620"/>
        </w:tabs>
        <w:ind w:left="720"/>
      </w:pPr>
      <w:r w:rsidRPr="00095B83">
        <w:t xml:space="preserve">Performance Minimums </w:t>
      </w:r>
      <w:bookmarkEnd w:id="40"/>
      <w:r w:rsidRPr="00095B83">
        <w:t>are defined as:</w:t>
      </w:r>
    </w:p>
    <w:p w14:paraId="4D1A30F0" w14:textId="77777777" w:rsidR="00B14219" w:rsidRPr="00C87979" w:rsidRDefault="00B14219" w:rsidP="008F62BB">
      <w:pPr>
        <w:pStyle w:val="Heading2"/>
        <w:numPr>
          <w:ilvl w:val="1"/>
          <w:numId w:val="57"/>
        </w:numPr>
        <w:tabs>
          <w:tab w:val="clear" w:pos="1890"/>
          <w:tab w:val="num" w:pos="1620"/>
        </w:tabs>
        <w:ind w:left="1620"/>
      </w:pPr>
      <w:r w:rsidRPr="00C87979">
        <w:t>The Service shall have a Performance Minimum of 99.9% Availability inclusive of scheduled maintenance, per one (1) calendar month; and</w:t>
      </w:r>
    </w:p>
    <w:p w14:paraId="00D43A83" w14:textId="77777777" w:rsidR="008F62BB" w:rsidRPr="00C87979" w:rsidRDefault="00B14219" w:rsidP="008F62BB">
      <w:pPr>
        <w:pStyle w:val="Heading2"/>
        <w:numPr>
          <w:ilvl w:val="1"/>
          <w:numId w:val="57"/>
        </w:numPr>
        <w:tabs>
          <w:tab w:val="clear" w:pos="1890"/>
          <w:tab w:val="num" w:pos="1620"/>
        </w:tabs>
        <w:ind w:left="1620"/>
      </w:pPr>
      <w:r w:rsidRPr="00C87979">
        <w:t>The Service is required to provide a MTTR of four (4) hours or less, per one (1) calendar month.</w:t>
      </w:r>
    </w:p>
    <w:p w14:paraId="68D56677" w14:textId="77777777" w:rsidR="00B55A87" w:rsidRPr="00095B83" w:rsidRDefault="003456D1" w:rsidP="00563394">
      <w:pPr>
        <w:pStyle w:val="Heading1"/>
        <w:numPr>
          <w:ilvl w:val="0"/>
          <w:numId w:val="14"/>
        </w:numPr>
      </w:pPr>
      <w:r w:rsidRPr="00095B83">
        <w:t>Service Level Credits</w:t>
      </w:r>
    </w:p>
    <w:p w14:paraId="5DC8C9E2" w14:textId="7F18CDF5" w:rsidR="005E4D25" w:rsidRPr="00095B83" w:rsidRDefault="005E4D25" w:rsidP="00563394">
      <w:pPr>
        <w:pStyle w:val="Heading2"/>
        <w:numPr>
          <w:ilvl w:val="1"/>
          <w:numId w:val="57"/>
        </w:numPr>
        <w:tabs>
          <w:tab w:val="clear" w:pos="1890"/>
          <w:tab w:val="num" w:pos="1620"/>
        </w:tabs>
        <w:ind w:left="1620"/>
      </w:pPr>
      <w:r w:rsidRPr="00095B83">
        <w:t xml:space="preserve">Contractor’s Service is designed to provide a Service Availability of at least 99.9%, </w:t>
      </w:r>
      <w:r w:rsidR="00DF5EF3">
        <w:t>including</w:t>
      </w:r>
      <w:r w:rsidR="00DF5EF3" w:rsidRPr="00095B83">
        <w:t xml:space="preserve"> </w:t>
      </w:r>
      <w:r w:rsidRPr="00095B83">
        <w:t xml:space="preserve">scheduled maintenance.  If the Target Availabilty as defined in the applicable chart below is not achieved in a calendar month, </w:t>
      </w:r>
      <w:r w:rsidR="00061E6E">
        <w:t>WaTech</w:t>
      </w:r>
      <w:r w:rsidRPr="00095B83">
        <w:t xml:space="preserve"> shall be entitled to the Service Level Credits set forth herein. Service Level Availability is calculated on a calendar month, which will be pro-rated for the first calendar month of service.</w:t>
      </w:r>
    </w:p>
    <w:p w14:paraId="7AF5C28F" w14:textId="77777777" w:rsidR="005E4D25" w:rsidRPr="00095B83" w:rsidRDefault="005E4D25" w:rsidP="005E4D25">
      <w:pPr>
        <w:pStyle w:val="Heading2"/>
        <w:ind w:left="1710"/>
      </w:pPr>
    </w:p>
    <w:tbl>
      <w:tblPr>
        <w:tblStyle w:val="TableGrid"/>
        <w:tblW w:w="0" w:type="auto"/>
        <w:tblInd w:w="1260" w:type="dxa"/>
        <w:tblLook w:val="04A0" w:firstRow="1" w:lastRow="0" w:firstColumn="1" w:lastColumn="0" w:noHBand="0" w:noVBand="1"/>
      </w:tblPr>
      <w:tblGrid>
        <w:gridCol w:w="2798"/>
        <w:gridCol w:w="2350"/>
        <w:gridCol w:w="2700"/>
      </w:tblGrid>
      <w:tr w:rsidR="005E4D25" w:rsidRPr="00095B83" w14:paraId="22406EE3" w14:textId="77777777" w:rsidTr="0071389C">
        <w:tc>
          <w:tcPr>
            <w:tcW w:w="2798" w:type="dxa"/>
          </w:tcPr>
          <w:p w14:paraId="4135D186" w14:textId="77777777" w:rsidR="005E4D25" w:rsidRPr="00095B83" w:rsidRDefault="005E4D25" w:rsidP="0071389C">
            <w:pPr>
              <w:pStyle w:val="Heading1para"/>
              <w:ind w:left="0"/>
              <w:rPr>
                <w:b/>
                <w:szCs w:val="22"/>
              </w:rPr>
            </w:pPr>
            <w:r w:rsidRPr="00095B83">
              <w:rPr>
                <w:b/>
                <w:szCs w:val="22"/>
              </w:rPr>
              <w:t>Target Availability</w:t>
            </w:r>
          </w:p>
          <w:p w14:paraId="48B3D8F9" w14:textId="77777777" w:rsidR="005E4D25" w:rsidRPr="00095B83" w:rsidRDefault="005E4D25" w:rsidP="00DF5EF3">
            <w:pPr>
              <w:pStyle w:val="Heading1para"/>
              <w:ind w:left="0"/>
              <w:rPr>
                <w:szCs w:val="22"/>
              </w:rPr>
            </w:pPr>
          </w:p>
        </w:tc>
        <w:tc>
          <w:tcPr>
            <w:tcW w:w="2350" w:type="dxa"/>
          </w:tcPr>
          <w:p w14:paraId="36979363" w14:textId="77777777" w:rsidR="005E4D25" w:rsidRPr="00095B83" w:rsidRDefault="005E4D25" w:rsidP="0071389C">
            <w:pPr>
              <w:pStyle w:val="Heading1para"/>
              <w:ind w:left="0"/>
              <w:rPr>
                <w:b/>
                <w:szCs w:val="22"/>
              </w:rPr>
            </w:pPr>
            <w:r w:rsidRPr="00095B83">
              <w:rPr>
                <w:b/>
                <w:szCs w:val="22"/>
              </w:rPr>
              <w:t>Actual Outage</w:t>
            </w:r>
          </w:p>
          <w:p w14:paraId="6FFE0904" w14:textId="77777777" w:rsidR="005E4D25" w:rsidRPr="00095B83" w:rsidRDefault="005E4D25" w:rsidP="0071389C">
            <w:pPr>
              <w:pStyle w:val="Heading1para"/>
              <w:ind w:left="0"/>
              <w:rPr>
                <w:szCs w:val="22"/>
              </w:rPr>
            </w:pPr>
            <w:r w:rsidRPr="00095B83">
              <w:rPr>
                <w:szCs w:val="22"/>
              </w:rPr>
              <w:t>(Monthly)</w:t>
            </w:r>
          </w:p>
        </w:tc>
        <w:tc>
          <w:tcPr>
            <w:tcW w:w="2700" w:type="dxa"/>
          </w:tcPr>
          <w:p w14:paraId="7FACC64D" w14:textId="77777777" w:rsidR="005E4D25" w:rsidRPr="00095B83" w:rsidRDefault="005E4D25" w:rsidP="0071389C">
            <w:pPr>
              <w:pStyle w:val="Heading1para"/>
              <w:ind w:left="0"/>
              <w:rPr>
                <w:b/>
                <w:szCs w:val="22"/>
              </w:rPr>
            </w:pPr>
            <w:r w:rsidRPr="00095B83">
              <w:rPr>
                <w:b/>
                <w:szCs w:val="22"/>
              </w:rPr>
              <w:t>Service Level Credit as % of MRC for the applicable Service</w:t>
            </w:r>
          </w:p>
        </w:tc>
      </w:tr>
      <w:tr w:rsidR="005E4D25" w:rsidRPr="00095B83" w14:paraId="7C993A10" w14:textId="77777777" w:rsidTr="0071389C">
        <w:tc>
          <w:tcPr>
            <w:tcW w:w="2798" w:type="dxa"/>
            <w:vMerge w:val="restart"/>
          </w:tcPr>
          <w:p w14:paraId="1CEAB822" w14:textId="77777777" w:rsidR="005E4D25" w:rsidRPr="00095B83" w:rsidRDefault="005E4D25" w:rsidP="0071389C">
            <w:pPr>
              <w:pStyle w:val="Heading1para"/>
              <w:ind w:left="0"/>
              <w:rPr>
                <w:b/>
                <w:sz w:val="18"/>
                <w:szCs w:val="22"/>
              </w:rPr>
            </w:pPr>
          </w:p>
          <w:p w14:paraId="73A6B6A2" w14:textId="77777777" w:rsidR="005E4D25" w:rsidRPr="00095B83" w:rsidRDefault="005E4D25" w:rsidP="0071389C">
            <w:pPr>
              <w:pStyle w:val="Heading1para"/>
              <w:ind w:left="0"/>
              <w:rPr>
                <w:b/>
                <w:sz w:val="18"/>
                <w:szCs w:val="22"/>
              </w:rPr>
            </w:pPr>
          </w:p>
          <w:p w14:paraId="5DB94D3A" w14:textId="77777777" w:rsidR="005E4D25" w:rsidRPr="00095B83" w:rsidRDefault="005E4D25" w:rsidP="0071389C">
            <w:pPr>
              <w:pStyle w:val="Heading1para"/>
              <w:ind w:left="0"/>
              <w:rPr>
                <w:b/>
                <w:szCs w:val="22"/>
              </w:rPr>
            </w:pPr>
          </w:p>
          <w:p w14:paraId="28D484F6" w14:textId="77777777" w:rsidR="005E4D25" w:rsidRPr="00095B83" w:rsidRDefault="005E4D25" w:rsidP="0071389C">
            <w:pPr>
              <w:pStyle w:val="Heading1para"/>
              <w:ind w:left="0"/>
              <w:rPr>
                <w:b/>
                <w:szCs w:val="22"/>
              </w:rPr>
            </w:pPr>
            <w:r w:rsidRPr="00095B83">
              <w:rPr>
                <w:b/>
                <w:szCs w:val="22"/>
              </w:rPr>
              <w:t>99.9% Availability</w:t>
            </w:r>
          </w:p>
        </w:tc>
        <w:tc>
          <w:tcPr>
            <w:tcW w:w="2350" w:type="dxa"/>
          </w:tcPr>
          <w:p w14:paraId="7BFD9181" w14:textId="77777777" w:rsidR="005E4D25" w:rsidRPr="00095B83" w:rsidRDefault="005E4D25" w:rsidP="0071389C">
            <w:pPr>
              <w:pStyle w:val="Heading1para"/>
              <w:ind w:left="0"/>
              <w:rPr>
                <w:szCs w:val="22"/>
              </w:rPr>
            </w:pPr>
            <w:r w:rsidRPr="00095B83">
              <w:rPr>
                <w:szCs w:val="22"/>
              </w:rPr>
              <w:t>Less than 43 minutes</w:t>
            </w:r>
          </w:p>
        </w:tc>
        <w:tc>
          <w:tcPr>
            <w:tcW w:w="2700" w:type="dxa"/>
          </w:tcPr>
          <w:p w14:paraId="49C3EE49" w14:textId="77777777" w:rsidR="005E4D25" w:rsidRPr="00095B83" w:rsidRDefault="005E4D25" w:rsidP="0071389C">
            <w:pPr>
              <w:pStyle w:val="Heading1para"/>
              <w:ind w:left="0"/>
              <w:rPr>
                <w:szCs w:val="22"/>
              </w:rPr>
            </w:pPr>
            <w:r w:rsidRPr="00095B83">
              <w:rPr>
                <w:szCs w:val="22"/>
              </w:rPr>
              <w:t>Target Met</w:t>
            </w:r>
          </w:p>
        </w:tc>
      </w:tr>
      <w:tr w:rsidR="005E4D25" w:rsidRPr="00095B83" w14:paraId="0B9D06BF" w14:textId="77777777" w:rsidTr="0071389C">
        <w:tc>
          <w:tcPr>
            <w:tcW w:w="2798" w:type="dxa"/>
            <w:vMerge/>
          </w:tcPr>
          <w:p w14:paraId="1D5565F6" w14:textId="77777777" w:rsidR="005E4D25" w:rsidRPr="00095B83" w:rsidRDefault="005E4D25" w:rsidP="0071389C">
            <w:pPr>
              <w:pStyle w:val="Heading1para"/>
              <w:ind w:left="0"/>
              <w:rPr>
                <w:szCs w:val="22"/>
              </w:rPr>
            </w:pPr>
          </w:p>
        </w:tc>
        <w:tc>
          <w:tcPr>
            <w:tcW w:w="2350" w:type="dxa"/>
          </w:tcPr>
          <w:p w14:paraId="70354271" w14:textId="77777777" w:rsidR="005E4D25" w:rsidRPr="00095B83" w:rsidRDefault="005E4D25" w:rsidP="0071389C">
            <w:pPr>
              <w:pStyle w:val="Heading1para"/>
              <w:ind w:left="0"/>
              <w:rPr>
                <w:szCs w:val="22"/>
              </w:rPr>
            </w:pPr>
            <w:r w:rsidRPr="00095B83">
              <w:rPr>
                <w:szCs w:val="22"/>
              </w:rPr>
              <w:t>&gt;43 minutes to 1 hour</w:t>
            </w:r>
          </w:p>
        </w:tc>
        <w:tc>
          <w:tcPr>
            <w:tcW w:w="2700" w:type="dxa"/>
          </w:tcPr>
          <w:p w14:paraId="4642CC1B" w14:textId="77777777" w:rsidR="005E4D25" w:rsidRPr="00095B83" w:rsidRDefault="005E4D25" w:rsidP="0071389C">
            <w:pPr>
              <w:pStyle w:val="Heading1para"/>
              <w:ind w:left="0"/>
              <w:rPr>
                <w:szCs w:val="22"/>
              </w:rPr>
            </w:pPr>
            <w:r w:rsidRPr="00095B83">
              <w:rPr>
                <w:szCs w:val="22"/>
              </w:rPr>
              <w:t>5%</w:t>
            </w:r>
          </w:p>
        </w:tc>
      </w:tr>
      <w:tr w:rsidR="005E4D25" w:rsidRPr="00095B83" w14:paraId="21A5A651" w14:textId="77777777" w:rsidTr="0071389C">
        <w:tc>
          <w:tcPr>
            <w:tcW w:w="2798" w:type="dxa"/>
            <w:vMerge/>
          </w:tcPr>
          <w:p w14:paraId="2218862F" w14:textId="77777777" w:rsidR="005E4D25" w:rsidRPr="00095B83" w:rsidRDefault="005E4D25" w:rsidP="0071389C">
            <w:pPr>
              <w:pStyle w:val="Heading1para"/>
              <w:ind w:left="0"/>
              <w:rPr>
                <w:szCs w:val="22"/>
              </w:rPr>
            </w:pPr>
          </w:p>
        </w:tc>
        <w:tc>
          <w:tcPr>
            <w:tcW w:w="2350" w:type="dxa"/>
          </w:tcPr>
          <w:p w14:paraId="21E086C7" w14:textId="77777777" w:rsidR="005E4D25" w:rsidRPr="00095B83" w:rsidRDefault="005E4D25" w:rsidP="0071389C">
            <w:pPr>
              <w:pStyle w:val="Heading1para"/>
              <w:ind w:left="0"/>
              <w:rPr>
                <w:szCs w:val="22"/>
              </w:rPr>
            </w:pPr>
            <w:r w:rsidRPr="00095B83">
              <w:rPr>
                <w:szCs w:val="22"/>
              </w:rPr>
              <w:t>&gt;1 hour to 3 hours</w:t>
            </w:r>
          </w:p>
        </w:tc>
        <w:tc>
          <w:tcPr>
            <w:tcW w:w="2700" w:type="dxa"/>
          </w:tcPr>
          <w:p w14:paraId="3D9F41A2" w14:textId="77777777" w:rsidR="005E4D25" w:rsidRPr="00095B83" w:rsidRDefault="005E4D25" w:rsidP="0071389C">
            <w:pPr>
              <w:pStyle w:val="Heading1para"/>
              <w:ind w:left="0"/>
              <w:rPr>
                <w:szCs w:val="22"/>
              </w:rPr>
            </w:pPr>
            <w:r w:rsidRPr="00095B83">
              <w:rPr>
                <w:szCs w:val="22"/>
              </w:rPr>
              <w:t>10%</w:t>
            </w:r>
          </w:p>
        </w:tc>
      </w:tr>
      <w:tr w:rsidR="005E4D25" w:rsidRPr="00095B83" w14:paraId="5A92C7F2" w14:textId="77777777" w:rsidTr="0071389C">
        <w:tc>
          <w:tcPr>
            <w:tcW w:w="2798" w:type="dxa"/>
            <w:vMerge/>
          </w:tcPr>
          <w:p w14:paraId="6AEA2952" w14:textId="77777777" w:rsidR="005E4D25" w:rsidRPr="00095B83" w:rsidRDefault="005E4D25" w:rsidP="0071389C">
            <w:pPr>
              <w:pStyle w:val="Heading1para"/>
              <w:ind w:left="0"/>
              <w:rPr>
                <w:szCs w:val="22"/>
              </w:rPr>
            </w:pPr>
          </w:p>
        </w:tc>
        <w:tc>
          <w:tcPr>
            <w:tcW w:w="2350" w:type="dxa"/>
          </w:tcPr>
          <w:p w14:paraId="34401BF6" w14:textId="77777777" w:rsidR="005E4D25" w:rsidRPr="00095B83" w:rsidRDefault="005E4D25" w:rsidP="0071389C">
            <w:pPr>
              <w:pStyle w:val="Heading1para"/>
              <w:ind w:left="0"/>
              <w:rPr>
                <w:szCs w:val="22"/>
              </w:rPr>
            </w:pPr>
            <w:r w:rsidRPr="00095B83">
              <w:rPr>
                <w:szCs w:val="22"/>
              </w:rPr>
              <w:t>&gt;3 hours to 5 hours</w:t>
            </w:r>
          </w:p>
        </w:tc>
        <w:tc>
          <w:tcPr>
            <w:tcW w:w="2700" w:type="dxa"/>
          </w:tcPr>
          <w:p w14:paraId="1A7D78DF" w14:textId="77777777" w:rsidR="005E4D25" w:rsidRPr="00095B83" w:rsidRDefault="005E4D25" w:rsidP="0071389C">
            <w:pPr>
              <w:pStyle w:val="Heading1para"/>
              <w:ind w:left="0"/>
              <w:rPr>
                <w:szCs w:val="22"/>
              </w:rPr>
            </w:pPr>
            <w:r w:rsidRPr="00095B83">
              <w:rPr>
                <w:szCs w:val="22"/>
              </w:rPr>
              <w:t>15%</w:t>
            </w:r>
          </w:p>
        </w:tc>
      </w:tr>
      <w:tr w:rsidR="005E4D25" w:rsidRPr="00095B83" w14:paraId="680B9AB9" w14:textId="77777777" w:rsidTr="0071389C">
        <w:tc>
          <w:tcPr>
            <w:tcW w:w="2798" w:type="dxa"/>
            <w:vMerge/>
          </w:tcPr>
          <w:p w14:paraId="4C0D6CF3" w14:textId="77777777" w:rsidR="005E4D25" w:rsidRPr="00095B83" w:rsidRDefault="005E4D25" w:rsidP="0071389C">
            <w:pPr>
              <w:pStyle w:val="Heading1para"/>
              <w:ind w:left="0"/>
              <w:rPr>
                <w:szCs w:val="22"/>
              </w:rPr>
            </w:pPr>
          </w:p>
        </w:tc>
        <w:tc>
          <w:tcPr>
            <w:tcW w:w="2350" w:type="dxa"/>
          </w:tcPr>
          <w:p w14:paraId="3A197E8B" w14:textId="77777777" w:rsidR="005E4D25" w:rsidRPr="00095B83" w:rsidRDefault="005E4D25" w:rsidP="0071389C">
            <w:pPr>
              <w:pStyle w:val="Heading1para"/>
              <w:ind w:left="0"/>
              <w:rPr>
                <w:szCs w:val="22"/>
              </w:rPr>
            </w:pPr>
            <w:r w:rsidRPr="00095B83">
              <w:rPr>
                <w:szCs w:val="22"/>
              </w:rPr>
              <w:t>&gt;5 hours</w:t>
            </w:r>
          </w:p>
        </w:tc>
        <w:tc>
          <w:tcPr>
            <w:tcW w:w="2700" w:type="dxa"/>
          </w:tcPr>
          <w:p w14:paraId="7F187348" w14:textId="77777777" w:rsidR="005E4D25" w:rsidRPr="00095B83" w:rsidRDefault="005E4D25" w:rsidP="0071389C">
            <w:pPr>
              <w:pStyle w:val="Heading1para"/>
              <w:ind w:left="0"/>
              <w:rPr>
                <w:szCs w:val="22"/>
              </w:rPr>
            </w:pPr>
            <w:r w:rsidRPr="00095B83">
              <w:rPr>
                <w:szCs w:val="22"/>
              </w:rPr>
              <w:t>An additional 5% for each additional hour of Outage</w:t>
            </w:r>
          </w:p>
        </w:tc>
      </w:tr>
    </w:tbl>
    <w:p w14:paraId="203B97EE" w14:textId="77777777" w:rsidR="00AE32EF" w:rsidRDefault="00AE32EF" w:rsidP="00AE32EF">
      <w:pPr>
        <w:autoSpaceDE w:val="0"/>
        <w:autoSpaceDN w:val="0"/>
        <w:jc w:val="both"/>
      </w:pPr>
    </w:p>
    <w:p w14:paraId="29404E71" w14:textId="0A073488" w:rsidR="00AE32EF" w:rsidRDefault="00AE32EF" w:rsidP="0071389C">
      <w:pPr>
        <w:pStyle w:val="Heading2"/>
        <w:numPr>
          <w:ilvl w:val="1"/>
          <w:numId w:val="57"/>
        </w:numPr>
        <w:tabs>
          <w:tab w:val="clear" w:pos="1890"/>
          <w:tab w:val="num" w:pos="1620"/>
        </w:tabs>
        <w:ind w:left="1620"/>
      </w:pPr>
      <w:r w:rsidRPr="00563394">
        <w:t>Service credits will not be issued where the SLA is not met as a result of</w:t>
      </w:r>
      <w:r w:rsidR="00553670">
        <w:t xml:space="preserve"> </w:t>
      </w:r>
      <w:r w:rsidR="007959F0">
        <w:t xml:space="preserve">a Force Majeure Event as described in Section 54 of the </w:t>
      </w:r>
      <w:r w:rsidR="00AE3A6C">
        <w:t>Network</w:t>
      </w:r>
      <w:r w:rsidR="007959F0">
        <w:t xml:space="preserve"> Services Agreement</w:t>
      </w:r>
      <w:r w:rsidRPr="00563394">
        <w:t>.</w:t>
      </w:r>
    </w:p>
    <w:p w14:paraId="230E1BBF" w14:textId="77777777" w:rsidR="00E2727D" w:rsidRPr="00095B83" w:rsidRDefault="00AE32EF" w:rsidP="00AE32EF">
      <w:pPr>
        <w:pStyle w:val="Heading1"/>
        <w:rPr>
          <w:bCs/>
          <w:szCs w:val="24"/>
        </w:rPr>
      </w:pPr>
      <w:bookmarkStart w:id="41" w:name="_Toc59620233"/>
      <w:bookmarkStart w:id="42" w:name="_Toc355264939"/>
      <w:bookmarkStart w:id="43" w:name="_Toc477777626"/>
      <w:r>
        <w:rPr>
          <w:szCs w:val="24"/>
        </w:rPr>
        <w:lastRenderedPageBreak/>
        <w:t>14.</w:t>
      </w:r>
      <w:r>
        <w:rPr>
          <w:szCs w:val="24"/>
        </w:rPr>
        <w:tab/>
      </w:r>
      <w:r w:rsidR="00E2727D" w:rsidRPr="00095B83">
        <w:rPr>
          <w:szCs w:val="24"/>
        </w:rPr>
        <w:t>Proprietary or Confidential Information</w:t>
      </w:r>
      <w:bookmarkEnd w:id="41"/>
      <w:bookmarkEnd w:id="42"/>
      <w:bookmarkEnd w:id="43"/>
    </w:p>
    <w:p w14:paraId="6F4B27EE" w14:textId="5AAD801F" w:rsidR="00E2727D" w:rsidRPr="00095B83" w:rsidRDefault="00E2727D" w:rsidP="00D66CB0">
      <w:pPr>
        <w:pStyle w:val="Heading2"/>
        <w:tabs>
          <w:tab w:val="left" w:pos="1620"/>
        </w:tabs>
        <w:ind w:left="720"/>
      </w:pPr>
      <w:r w:rsidRPr="00095B83">
        <w:t xml:space="preserve">Any information contained in the Contractor’s Response to a </w:t>
      </w:r>
      <w:r w:rsidR="00061E6E">
        <w:t>WaTech</w:t>
      </w:r>
      <w:r w:rsidRPr="00095B83">
        <w:t xml:space="preserve"> Procurement Document that is proprietary or confidential must be clearly designated. Marking of the entire Response or entire sections of the Response as proprietary or confidential will not be accepted nor honored. </w:t>
      </w:r>
      <w:r w:rsidR="00061E6E">
        <w:t>WaTech</w:t>
      </w:r>
      <w:r w:rsidRPr="00095B83">
        <w:t xml:space="preserve"> will not accept Responses where pricing is marked proprietary or confidential, and the Response will be rejected.</w:t>
      </w:r>
    </w:p>
    <w:p w14:paraId="3147C27C" w14:textId="20EB8F63" w:rsidR="00E2727D" w:rsidRPr="00095B83" w:rsidRDefault="00E2727D" w:rsidP="00D66CB0">
      <w:pPr>
        <w:pStyle w:val="Heading2"/>
        <w:tabs>
          <w:tab w:val="left" w:pos="1620"/>
        </w:tabs>
        <w:ind w:left="720"/>
      </w:pPr>
      <w:r w:rsidRPr="00095B83">
        <w:t xml:space="preserve">To the extent consistent with chapter 42.56 RCW, the Public Disclosure Act, </w:t>
      </w:r>
      <w:r w:rsidR="00061E6E">
        <w:t>WaTech</w:t>
      </w:r>
      <w:r w:rsidRPr="00095B83">
        <w:t xml:space="preserve"> shall maintain the confidentiality of the Contractor’s information marked confidential or proprietary. If a request is made to view Vendor’s proprietary information, </w:t>
      </w:r>
      <w:r w:rsidR="00061E6E">
        <w:t>WaTech</w:t>
      </w:r>
      <w:r w:rsidRPr="00095B83">
        <w:t xml:space="preserve"> will notify the Contractor of the request and of the date that the records will be released to the requester unless the Contractor obtains a court order enjoining that disclosure. If the Contractor fails to obtain the court order enjoining disclosure, </w:t>
      </w:r>
      <w:r w:rsidR="00061E6E">
        <w:t>WaTech</w:t>
      </w:r>
      <w:r w:rsidRPr="00095B83">
        <w:t xml:space="preserve"> will release the requested information on the date specified.</w:t>
      </w:r>
    </w:p>
    <w:p w14:paraId="28FCCD9D" w14:textId="486325CA" w:rsidR="00E2727D" w:rsidRDefault="00E2727D" w:rsidP="00D66CB0">
      <w:pPr>
        <w:pStyle w:val="Heading2"/>
        <w:tabs>
          <w:tab w:val="left" w:pos="1620"/>
        </w:tabs>
        <w:ind w:left="720"/>
      </w:pPr>
      <w:r w:rsidRPr="00095B83">
        <w:t xml:space="preserve">The State’s sole responsibility shall be limited to maintaining the above data in a secure area and to notify the Contractor of any request(s) for disclosure for so long as </w:t>
      </w:r>
      <w:r w:rsidR="00061E6E">
        <w:t>WaTech</w:t>
      </w:r>
      <w:r w:rsidRPr="00095B83">
        <w:t xml:space="preserve"> retains the Contractor’s information in </w:t>
      </w:r>
      <w:r w:rsidR="00061E6E">
        <w:t>WaTech</w:t>
      </w:r>
      <w:r w:rsidRPr="00095B83">
        <w:t xml:space="preserve"> records. Failure to so label such materials or failure to timely respond after notice of request for public disclosure has been given shall be deemed a waiver by the Contractor of any claim that such materials are exempt from disclosure.</w:t>
      </w:r>
    </w:p>
    <w:p w14:paraId="0568CD37" w14:textId="77777777" w:rsidR="00944973" w:rsidRDefault="00944973" w:rsidP="00D66CB0">
      <w:pPr>
        <w:pStyle w:val="Heading2"/>
        <w:tabs>
          <w:tab w:val="left" w:pos="1620"/>
        </w:tabs>
        <w:ind w:left="720"/>
      </w:pPr>
    </w:p>
    <w:p w14:paraId="20956DE8" w14:textId="77777777" w:rsidR="00E2727D" w:rsidRPr="00095B83" w:rsidRDefault="00E2727D" w:rsidP="00D66CB0">
      <w:pPr>
        <w:pStyle w:val="Heading2"/>
        <w:tabs>
          <w:tab w:val="left" w:pos="1620"/>
        </w:tabs>
        <w:ind w:left="720"/>
      </w:pPr>
      <w:r w:rsidRPr="00095B83">
        <w:t xml:space="preserve">The Effective Date of this Technical Addendum shall be the date of last signature below. </w:t>
      </w:r>
    </w:p>
    <w:p w14:paraId="1FA6163B" w14:textId="77777777" w:rsidR="00E2727D" w:rsidRPr="00095B83" w:rsidRDefault="00E2727D" w:rsidP="00E2727D">
      <w:pPr>
        <w:pStyle w:val="Heading1para"/>
        <w:ind w:left="0"/>
        <w:rPr>
          <w:szCs w:val="24"/>
        </w:rPr>
      </w:pPr>
    </w:p>
    <w:tbl>
      <w:tblPr>
        <w:tblW w:w="9558" w:type="dxa"/>
        <w:tblLayout w:type="fixed"/>
        <w:tblLook w:val="0000" w:firstRow="0" w:lastRow="0" w:firstColumn="0" w:lastColumn="0" w:noHBand="0" w:noVBand="0"/>
      </w:tblPr>
      <w:tblGrid>
        <w:gridCol w:w="4518"/>
        <w:gridCol w:w="450"/>
        <w:gridCol w:w="4590"/>
      </w:tblGrid>
      <w:tr w:rsidR="00E2727D" w:rsidRPr="00095B83" w14:paraId="54C37504" w14:textId="77777777" w:rsidTr="00542159">
        <w:tc>
          <w:tcPr>
            <w:tcW w:w="4518" w:type="dxa"/>
          </w:tcPr>
          <w:p w14:paraId="41AF8AB5" w14:textId="77777777" w:rsidR="00E2727D" w:rsidRPr="00095B83" w:rsidRDefault="00E2727D" w:rsidP="00542159">
            <w:pPr>
              <w:spacing w:after="120"/>
              <w:rPr>
                <w:szCs w:val="24"/>
              </w:rPr>
            </w:pPr>
            <w:r w:rsidRPr="00095B83">
              <w:rPr>
                <w:b/>
                <w:szCs w:val="24"/>
              </w:rPr>
              <w:t>Approved</w:t>
            </w:r>
          </w:p>
        </w:tc>
        <w:tc>
          <w:tcPr>
            <w:tcW w:w="450" w:type="dxa"/>
          </w:tcPr>
          <w:p w14:paraId="06692137" w14:textId="77777777" w:rsidR="00E2727D" w:rsidRPr="00095B83" w:rsidRDefault="00E2727D" w:rsidP="00542159">
            <w:pPr>
              <w:spacing w:after="120"/>
              <w:rPr>
                <w:szCs w:val="24"/>
              </w:rPr>
            </w:pPr>
          </w:p>
        </w:tc>
        <w:tc>
          <w:tcPr>
            <w:tcW w:w="4590" w:type="dxa"/>
          </w:tcPr>
          <w:p w14:paraId="0A2BFE32" w14:textId="77777777" w:rsidR="00E2727D" w:rsidRPr="00095B83" w:rsidRDefault="00E2727D" w:rsidP="00542159">
            <w:pPr>
              <w:spacing w:after="120"/>
              <w:rPr>
                <w:szCs w:val="24"/>
              </w:rPr>
            </w:pPr>
            <w:r w:rsidRPr="00095B83">
              <w:rPr>
                <w:b/>
                <w:szCs w:val="24"/>
              </w:rPr>
              <w:t>Approved</w:t>
            </w:r>
          </w:p>
        </w:tc>
      </w:tr>
      <w:tr w:rsidR="00E2727D" w:rsidRPr="00095B83" w14:paraId="71AB021B" w14:textId="77777777" w:rsidTr="00542159">
        <w:tc>
          <w:tcPr>
            <w:tcW w:w="4518" w:type="dxa"/>
          </w:tcPr>
          <w:p w14:paraId="696D04C6" w14:textId="77777777" w:rsidR="00E2727D" w:rsidRPr="00095B83" w:rsidRDefault="00E2727D" w:rsidP="00542159">
            <w:pPr>
              <w:rPr>
                <w:szCs w:val="24"/>
              </w:rPr>
            </w:pPr>
            <w:r w:rsidRPr="00095B83">
              <w:rPr>
                <w:szCs w:val="24"/>
              </w:rPr>
              <w:t>State of Washington</w:t>
            </w:r>
          </w:p>
          <w:p w14:paraId="165D1678" w14:textId="759A5131" w:rsidR="00E2727D" w:rsidRPr="00095B83" w:rsidRDefault="00061E6E" w:rsidP="00542159">
            <w:pPr>
              <w:rPr>
                <w:szCs w:val="24"/>
              </w:rPr>
            </w:pPr>
            <w:r>
              <w:rPr>
                <w:szCs w:val="24"/>
              </w:rPr>
              <w:t>Washington Technology Solutions</w:t>
            </w:r>
          </w:p>
        </w:tc>
        <w:tc>
          <w:tcPr>
            <w:tcW w:w="450" w:type="dxa"/>
          </w:tcPr>
          <w:p w14:paraId="0C33BAB6" w14:textId="77777777" w:rsidR="00E2727D" w:rsidRPr="00095B83" w:rsidRDefault="00E2727D" w:rsidP="00542159">
            <w:pPr>
              <w:rPr>
                <w:szCs w:val="24"/>
              </w:rPr>
            </w:pPr>
          </w:p>
        </w:tc>
        <w:tc>
          <w:tcPr>
            <w:tcW w:w="4590" w:type="dxa"/>
          </w:tcPr>
          <w:p w14:paraId="378E85AD" w14:textId="77777777" w:rsidR="00E2727D" w:rsidRPr="00095B83" w:rsidRDefault="007B0DC6" w:rsidP="00542159">
            <w:pPr>
              <w:pStyle w:val="Header"/>
              <w:tabs>
                <w:tab w:val="clear" w:pos="4320"/>
                <w:tab w:val="clear" w:pos="8640"/>
              </w:tabs>
              <w:rPr>
                <w:iCs/>
                <w:szCs w:val="24"/>
              </w:rPr>
            </w:pPr>
            <w:r>
              <w:rPr>
                <w:iCs/>
                <w:szCs w:val="24"/>
              </w:rPr>
              <w:t>Vendor</w:t>
            </w:r>
          </w:p>
        </w:tc>
      </w:tr>
      <w:tr w:rsidR="00E2727D" w:rsidRPr="00095B83" w14:paraId="7924FF0B" w14:textId="77777777" w:rsidTr="00542159">
        <w:trPr>
          <w:trHeight w:val="960"/>
        </w:trPr>
        <w:tc>
          <w:tcPr>
            <w:tcW w:w="4518" w:type="dxa"/>
          </w:tcPr>
          <w:p w14:paraId="487CB1DB" w14:textId="77777777" w:rsidR="00E2727D" w:rsidRPr="00095B83" w:rsidRDefault="00E2727D" w:rsidP="00542159">
            <w:pPr>
              <w:rPr>
                <w:szCs w:val="24"/>
              </w:rPr>
            </w:pPr>
          </w:p>
        </w:tc>
        <w:tc>
          <w:tcPr>
            <w:tcW w:w="450" w:type="dxa"/>
          </w:tcPr>
          <w:p w14:paraId="72BFF5B3" w14:textId="77777777" w:rsidR="00E2727D" w:rsidRPr="00095B83" w:rsidRDefault="00E2727D" w:rsidP="00542159">
            <w:pPr>
              <w:rPr>
                <w:szCs w:val="24"/>
              </w:rPr>
            </w:pPr>
          </w:p>
        </w:tc>
        <w:tc>
          <w:tcPr>
            <w:tcW w:w="4590" w:type="dxa"/>
          </w:tcPr>
          <w:p w14:paraId="4941B762" w14:textId="77777777" w:rsidR="00E2727D" w:rsidRPr="00095B83" w:rsidRDefault="00E2727D" w:rsidP="00542159">
            <w:pPr>
              <w:pStyle w:val="Header"/>
              <w:tabs>
                <w:tab w:val="clear" w:pos="4320"/>
                <w:tab w:val="clear" w:pos="8640"/>
              </w:tabs>
              <w:rPr>
                <w:szCs w:val="24"/>
              </w:rPr>
            </w:pPr>
          </w:p>
        </w:tc>
      </w:tr>
      <w:tr w:rsidR="00E2727D" w:rsidRPr="00095B83" w14:paraId="4A46A72A" w14:textId="77777777" w:rsidTr="00542159">
        <w:tc>
          <w:tcPr>
            <w:tcW w:w="4518" w:type="dxa"/>
            <w:tcBorders>
              <w:top w:val="single" w:sz="12" w:space="0" w:color="auto"/>
            </w:tcBorders>
          </w:tcPr>
          <w:p w14:paraId="1B593E09" w14:textId="77777777" w:rsidR="00E2727D" w:rsidRPr="00095B83" w:rsidRDefault="00E2727D" w:rsidP="00542159">
            <w:pPr>
              <w:rPr>
                <w:i/>
                <w:iCs/>
                <w:szCs w:val="24"/>
                <w:vertAlign w:val="superscript"/>
              </w:rPr>
            </w:pPr>
            <w:r w:rsidRPr="00095B83">
              <w:rPr>
                <w:i/>
                <w:iCs/>
                <w:szCs w:val="24"/>
                <w:vertAlign w:val="superscript"/>
              </w:rPr>
              <w:t>Signature</w:t>
            </w:r>
          </w:p>
        </w:tc>
        <w:tc>
          <w:tcPr>
            <w:tcW w:w="450" w:type="dxa"/>
          </w:tcPr>
          <w:p w14:paraId="49ADAE9E" w14:textId="77777777" w:rsidR="00E2727D" w:rsidRPr="00095B83" w:rsidRDefault="00E2727D" w:rsidP="00542159">
            <w:pPr>
              <w:rPr>
                <w:i/>
                <w:iCs/>
                <w:szCs w:val="24"/>
                <w:vertAlign w:val="superscript"/>
              </w:rPr>
            </w:pPr>
          </w:p>
        </w:tc>
        <w:tc>
          <w:tcPr>
            <w:tcW w:w="4590" w:type="dxa"/>
            <w:tcBorders>
              <w:top w:val="single" w:sz="12" w:space="0" w:color="auto"/>
            </w:tcBorders>
          </w:tcPr>
          <w:p w14:paraId="2710CAF4" w14:textId="77777777" w:rsidR="00E2727D" w:rsidRPr="00095B83" w:rsidRDefault="00E2727D" w:rsidP="00542159">
            <w:pPr>
              <w:rPr>
                <w:i/>
                <w:iCs/>
                <w:szCs w:val="24"/>
                <w:vertAlign w:val="superscript"/>
              </w:rPr>
            </w:pPr>
            <w:r w:rsidRPr="00095B83">
              <w:rPr>
                <w:i/>
                <w:iCs/>
                <w:szCs w:val="24"/>
                <w:vertAlign w:val="superscript"/>
              </w:rPr>
              <w:t>Signature</w:t>
            </w:r>
          </w:p>
        </w:tc>
      </w:tr>
      <w:tr w:rsidR="00E2727D" w:rsidRPr="00095B83" w14:paraId="7EBD6F8A" w14:textId="77777777" w:rsidTr="00542159">
        <w:trPr>
          <w:trHeight w:val="480"/>
        </w:trPr>
        <w:tc>
          <w:tcPr>
            <w:tcW w:w="4518" w:type="dxa"/>
            <w:tcBorders>
              <w:bottom w:val="single" w:sz="12" w:space="0" w:color="auto"/>
            </w:tcBorders>
            <w:vAlign w:val="bottom"/>
          </w:tcPr>
          <w:p w14:paraId="1387DCC3" w14:textId="77777777" w:rsidR="00E2727D" w:rsidRPr="00095B83" w:rsidRDefault="00E2727D" w:rsidP="00542159">
            <w:pPr>
              <w:pStyle w:val="Normal-Left"/>
              <w:spacing w:before="240" w:after="0"/>
              <w:rPr>
                <w:szCs w:val="24"/>
              </w:rPr>
            </w:pPr>
          </w:p>
        </w:tc>
        <w:tc>
          <w:tcPr>
            <w:tcW w:w="450" w:type="dxa"/>
            <w:vAlign w:val="bottom"/>
          </w:tcPr>
          <w:p w14:paraId="5E2CEAE5" w14:textId="77777777" w:rsidR="00E2727D" w:rsidRPr="00095B83" w:rsidRDefault="00E2727D" w:rsidP="00542159">
            <w:pPr>
              <w:rPr>
                <w:szCs w:val="24"/>
              </w:rPr>
            </w:pPr>
          </w:p>
        </w:tc>
        <w:tc>
          <w:tcPr>
            <w:tcW w:w="4590" w:type="dxa"/>
            <w:tcBorders>
              <w:bottom w:val="single" w:sz="12" w:space="0" w:color="auto"/>
            </w:tcBorders>
            <w:vAlign w:val="bottom"/>
          </w:tcPr>
          <w:p w14:paraId="7C3C4D05" w14:textId="77777777" w:rsidR="00E2727D" w:rsidRPr="00095B83" w:rsidRDefault="00E2727D" w:rsidP="00542159">
            <w:pPr>
              <w:rPr>
                <w:szCs w:val="24"/>
              </w:rPr>
            </w:pPr>
          </w:p>
          <w:p w14:paraId="3063C65B" w14:textId="77777777" w:rsidR="00E2727D" w:rsidRPr="00095B83" w:rsidRDefault="00E2727D" w:rsidP="00542159">
            <w:pPr>
              <w:rPr>
                <w:szCs w:val="24"/>
              </w:rPr>
            </w:pPr>
          </w:p>
        </w:tc>
      </w:tr>
      <w:tr w:rsidR="00E2727D" w:rsidRPr="00095B83" w14:paraId="49AF4759" w14:textId="77777777" w:rsidTr="00542159">
        <w:tc>
          <w:tcPr>
            <w:tcW w:w="4518" w:type="dxa"/>
            <w:tcBorders>
              <w:top w:val="single" w:sz="12" w:space="0" w:color="auto"/>
            </w:tcBorders>
          </w:tcPr>
          <w:p w14:paraId="446D0335" w14:textId="77777777" w:rsidR="00E2727D" w:rsidRPr="00095B83" w:rsidRDefault="00E2727D" w:rsidP="00542159">
            <w:pPr>
              <w:rPr>
                <w:i/>
                <w:iCs/>
                <w:szCs w:val="24"/>
                <w:vertAlign w:val="superscript"/>
              </w:rPr>
            </w:pPr>
            <w:r w:rsidRPr="00095B83">
              <w:rPr>
                <w:i/>
                <w:iCs/>
                <w:szCs w:val="24"/>
                <w:vertAlign w:val="superscript"/>
              </w:rPr>
              <w:t>Print or Type Name                                           Date</w:t>
            </w:r>
          </w:p>
        </w:tc>
        <w:tc>
          <w:tcPr>
            <w:tcW w:w="450" w:type="dxa"/>
          </w:tcPr>
          <w:p w14:paraId="2520EEAF" w14:textId="77777777" w:rsidR="00E2727D" w:rsidRPr="00095B83" w:rsidRDefault="00E2727D" w:rsidP="00542159">
            <w:pPr>
              <w:rPr>
                <w:i/>
                <w:iCs/>
                <w:szCs w:val="24"/>
                <w:vertAlign w:val="superscript"/>
              </w:rPr>
            </w:pPr>
          </w:p>
        </w:tc>
        <w:tc>
          <w:tcPr>
            <w:tcW w:w="4590" w:type="dxa"/>
            <w:tcBorders>
              <w:top w:val="single" w:sz="12" w:space="0" w:color="auto"/>
            </w:tcBorders>
          </w:tcPr>
          <w:p w14:paraId="7B716EA9" w14:textId="77777777" w:rsidR="00E2727D" w:rsidRPr="00095B83" w:rsidRDefault="00E2727D" w:rsidP="00542159">
            <w:pPr>
              <w:rPr>
                <w:i/>
                <w:iCs/>
                <w:szCs w:val="24"/>
                <w:vertAlign w:val="superscript"/>
              </w:rPr>
            </w:pPr>
            <w:r w:rsidRPr="00095B83">
              <w:rPr>
                <w:i/>
                <w:iCs/>
                <w:szCs w:val="24"/>
                <w:vertAlign w:val="superscript"/>
              </w:rPr>
              <w:t>Print or Type Name                                                Date</w:t>
            </w:r>
          </w:p>
        </w:tc>
      </w:tr>
      <w:tr w:rsidR="00E2727D" w:rsidRPr="00095B83" w14:paraId="631F06BD" w14:textId="77777777" w:rsidTr="00542159">
        <w:trPr>
          <w:trHeight w:val="720"/>
        </w:trPr>
        <w:tc>
          <w:tcPr>
            <w:tcW w:w="4518" w:type="dxa"/>
            <w:tcBorders>
              <w:bottom w:val="single" w:sz="12" w:space="0" w:color="auto"/>
            </w:tcBorders>
            <w:vAlign w:val="bottom"/>
          </w:tcPr>
          <w:p w14:paraId="64510835" w14:textId="77777777" w:rsidR="00E2727D" w:rsidRPr="00095B83" w:rsidRDefault="00E2727D" w:rsidP="00542159">
            <w:pPr>
              <w:spacing w:before="240"/>
              <w:rPr>
                <w:szCs w:val="24"/>
              </w:rPr>
            </w:pPr>
          </w:p>
        </w:tc>
        <w:tc>
          <w:tcPr>
            <w:tcW w:w="450" w:type="dxa"/>
            <w:vAlign w:val="bottom"/>
          </w:tcPr>
          <w:p w14:paraId="13B4C228" w14:textId="77777777" w:rsidR="00E2727D" w:rsidRPr="00095B83" w:rsidRDefault="00E2727D" w:rsidP="00542159">
            <w:pPr>
              <w:rPr>
                <w:szCs w:val="24"/>
                <w:vertAlign w:val="superscript"/>
              </w:rPr>
            </w:pPr>
          </w:p>
        </w:tc>
        <w:tc>
          <w:tcPr>
            <w:tcW w:w="4590" w:type="dxa"/>
            <w:tcBorders>
              <w:bottom w:val="single" w:sz="12" w:space="0" w:color="auto"/>
            </w:tcBorders>
            <w:vAlign w:val="bottom"/>
          </w:tcPr>
          <w:p w14:paraId="18893766" w14:textId="77777777" w:rsidR="00E2727D" w:rsidRPr="00095B83" w:rsidRDefault="00E2727D" w:rsidP="00542159">
            <w:pPr>
              <w:rPr>
                <w:iCs/>
                <w:szCs w:val="24"/>
              </w:rPr>
            </w:pPr>
          </w:p>
        </w:tc>
      </w:tr>
      <w:tr w:rsidR="00E2727D" w:rsidRPr="00095B83" w14:paraId="38BEE4A3" w14:textId="77777777" w:rsidTr="00542159">
        <w:tc>
          <w:tcPr>
            <w:tcW w:w="4518" w:type="dxa"/>
            <w:tcBorders>
              <w:top w:val="single" w:sz="12" w:space="0" w:color="auto"/>
            </w:tcBorders>
          </w:tcPr>
          <w:p w14:paraId="385273D3" w14:textId="77777777" w:rsidR="00E2727D" w:rsidRPr="00095B83" w:rsidRDefault="00E2727D" w:rsidP="00542159">
            <w:pPr>
              <w:rPr>
                <w:i/>
                <w:iCs/>
                <w:szCs w:val="24"/>
                <w:vertAlign w:val="superscript"/>
              </w:rPr>
            </w:pPr>
            <w:r w:rsidRPr="00095B83">
              <w:rPr>
                <w:i/>
                <w:iCs/>
                <w:szCs w:val="24"/>
                <w:vertAlign w:val="superscript"/>
              </w:rPr>
              <w:t>Title</w:t>
            </w:r>
          </w:p>
        </w:tc>
        <w:tc>
          <w:tcPr>
            <w:tcW w:w="450" w:type="dxa"/>
          </w:tcPr>
          <w:p w14:paraId="4E324676" w14:textId="77777777" w:rsidR="00E2727D" w:rsidRPr="00095B83" w:rsidRDefault="00E2727D" w:rsidP="00542159">
            <w:pPr>
              <w:rPr>
                <w:i/>
                <w:iCs/>
                <w:szCs w:val="24"/>
                <w:vertAlign w:val="superscript"/>
              </w:rPr>
            </w:pPr>
          </w:p>
        </w:tc>
        <w:tc>
          <w:tcPr>
            <w:tcW w:w="4590" w:type="dxa"/>
            <w:tcBorders>
              <w:top w:val="single" w:sz="12" w:space="0" w:color="auto"/>
            </w:tcBorders>
          </w:tcPr>
          <w:p w14:paraId="79C5EA6A" w14:textId="77777777" w:rsidR="00E2727D" w:rsidRPr="00095B83" w:rsidRDefault="00E2727D" w:rsidP="00542159">
            <w:pPr>
              <w:rPr>
                <w:i/>
                <w:iCs/>
                <w:szCs w:val="24"/>
                <w:vertAlign w:val="superscript"/>
              </w:rPr>
            </w:pPr>
            <w:r w:rsidRPr="00095B83">
              <w:rPr>
                <w:i/>
                <w:iCs/>
                <w:szCs w:val="24"/>
                <w:vertAlign w:val="superscript"/>
              </w:rPr>
              <w:t xml:space="preserve">Title </w:t>
            </w:r>
          </w:p>
        </w:tc>
      </w:tr>
    </w:tbl>
    <w:p w14:paraId="0E560C12" w14:textId="77777777" w:rsidR="00E2727D" w:rsidRPr="00095B83" w:rsidRDefault="00E2727D" w:rsidP="00E2727D">
      <w:pPr>
        <w:rPr>
          <w:szCs w:val="24"/>
        </w:rPr>
      </w:pPr>
      <w:r w:rsidRPr="00095B83">
        <w:rPr>
          <w:b/>
          <w:szCs w:val="24"/>
        </w:rPr>
        <w:br w:type="page"/>
      </w:r>
    </w:p>
    <w:p w14:paraId="1619D3A0" w14:textId="77777777" w:rsidR="00E2727D" w:rsidRPr="00095B83" w:rsidRDefault="00DF5EF3" w:rsidP="00E2727D">
      <w:pPr>
        <w:jc w:val="center"/>
        <w:rPr>
          <w:b/>
          <w:i/>
          <w:sz w:val="32"/>
        </w:rPr>
      </w:pPr>
      <w:r>
        <w:rPr>
          <w:b/>
          <w:i/>
          <w:sz w:val="32"/>
        </w:rPr>
        <w:lastRenderedPageBreak/>
        <w:t xml:space="preserve">Data </w:t>
      </w:r>
      <w:r w:rsidR="00E2727D" w:rsidRPr="00095B83">
        <w:rPr>
          <w:b/>
          <w:i/>
          <w:sz w:val="32"/>
        </w:rPr>
        <w:t>TDM Statement of Work Template</w:t>
      </w:r>
    </w:p>
    <w:p w14:paraId="77D866BB" w14:textId="77777777" w:rsidR="00E2727D" w:rsidRPr="00095B83" w:rsidRDefault="00E2727D" w:rsidP="00E2727D">
      <w:pPr>
        <w:rPr>
          <w:b/>
          <w:szCs w:val="22"/>
        </w:rPr>
      </w:pPr>
    </w:p>
    <w:p w14:paraId="43EA0A52" w14:textId="59BF1DFE" w:rsidR="00E2727D" w:rsidRPr="00095B83" w:rsidRDefault="00E2727D" w:rsidP="00E2727D">
      <w:pPr>
        <w:rPr>
          <w:szCs w:val="22"/>
        </w:rPr>
      </w:pPr>
      <w:r w:rsidRPr="00095B83">
        <w:rPr>
          <w:szCs w:val="22"/>
        </w:rPr>
        <w:t>T</w:t>
      </w:r>
      <w:r w:rsidR="00B30EC1" w:rsidRPr="00095B83">
        <w:rPr>
          <w:szCs w:val="22"/>
        </w:rPr>
        <w:t xml:space="preserve">his Statement of Work </w:t>
      </w:r>
      <w:r w:rsidR="00061E6E">
        <w:rPr>
          <w:szCs w:val="22"/>
        </w:rPr>
        <w:t>05-25-XXX</w:t>
      </w:r>
      <w:r w:rsidR="00B30EC1" w:rsidRPr="00095B83">
        <w:rPr>
          <w:szCs w:val="22"/>
        </w:rPr>
        <w:t xml:space="preserve"> (SOW</w:t>
      </w:r>
      <w:r w:rsidRPr="00095B83">
        <w:rPr>
          <w:szCs w:val="22"/>
        </w:rPr>
        <w:t xml:space="preserve">) is made and entered by and between the State of Washington, </w:t>
      </w:r>
      <w:r w:rsidR="00061E6E">
        <w:rPr>
          <w:szCs w:val="22"/>
        </w:rPr>
        <w:t>Washington Technology Solutions</w:t>
      </w:r>
      <w:r w:rsidRPr="00095B83">
        <w:rPr>
          <w:szCs w:val="22"/>
        </w:rPr>
        <w:t xml:space="preserve"> (</w:t>
      </w:r>
      <w:r w:rsidR="00A87C30">
        <w:rPr>
          <w:szCs w:val="22"/>
        </w:rPr>
        <w:t>“</w:t>
      </w:r>
      <w:r w:rsidR="00061E6E">
        <w:rPr>
          <w:szCs w:val="22"/>
        </w:rPr>
        <w:t>WaTech</w:t>
      </w:r>
      <w:r w:rsidR="00A87C30">
        <w:rPr>
          <w:szCs w:val="22"/>
        </w:rPr>
        <w:t>”</w:t>
      </w:r>
      <w:r w:rsidRPr="00095B83">
        <w:rPr>
          <w:szCs w:val="22"/>
        </w:rPr>
        <w:t xml:space="preserve">), and </w:t>
      </w:r>
      <w:proofErr w:type="spellStart"/>
      <w:r w:rsidRPr="00095B83">
        <w:rPr>
          <w:i/>
          <w:szCs w:val="22"/>
        </w:rPr>
        <w:t>xxxxxxxxxx</w:t>
      </w:r>
      <w:proofErr w:type="spellEnd"/>
      <w:r w:rsidRPr="00095B83">
        <w:rPr>
          <w:i/>
          <w:szCs w:val="22"/>
        </w:rPr>
        <w:t xml:space="preserve"> </w:t>
      </w:r>
      <w:proofErr w:type="spellStart"/>
      <w:r w:rsidRPr="00095B83">
        <w:rPr>
          <w:i/>
          <w:szCs w:val="22"/>
        </w:rPr>
        <w:t>xxxxxxxx</w:t>
      </w:r>
      <w:proofErr w:type="spellEnd"/>
      <w:r w:rsidRPr="00095B83">
        <w:rPr>
          <w:szCs w:val="22"/>
        </w:rPr>
        <w:t>(</w:t>
      </w:r>
      <w:r w:rsidR="00A87C30">
        <w:rPr>
          <w:szCs w:val="22"/>
        </w:rPr>
        <w:t>“</w:t>
      </w:r>
      <w:r w:rsidRPr="00095B83">
        <w:rPr>
          <w:szCs w:val="22"/>
        </w:rPr>
        <w:t>Contractor</w:t>
      </w:r>
      <w:r w:rsidR="00A87C30">
        <w:rPr>
          <w:szCs w:val="22"/>
        </w:rPr>
        <w:t>”</w:t>
      </w:r>
      <w:r w:rsidRPr="00095B83">
        <w:rPr>
          <w:szCs w:val="22"/>
        </w:rPr>
        <w:t xml:space="preserve">), collectively referred to as </w:t>
      </w:r>
      <w:r w:rsidR="00A87C30">
        <w:rPr>
          <w:szCs w:val="22"/>
        </w:rPr>
        <w:t>“</w:t>
      </w:r>
      <w:r w:rsidRPr="00095B83">
        <w:rPr>
          <w:szCs w:val="22"/>
        </w:rPr>
        <w:t>Parties</w:t>
      </w:r>
      <w:r w:rsidR="00A87C30">
        <w:rPr>
          <w:szCs w:val="22"/>
        </w:rPr>
        <w:t>”</w:t>
      </w:r>
      <w:r w:rsidRPr="00095B83">
        <w:rPr>
          <w:szCs w:val="22"/>
        </w:rPr>
        <w:t xml:space="preserve"> pursuant to Section </w:t>
      </w:r>
      <w:proofErr w:type="spellStart"/>
      <w:r w:rsidRPr="00095B83">
        <w:rPr>
          <w:szCs w:val="22"/>
        </w:rPr>
        <w:t>xxxxxxx</w:t>
      </w:r>
      <w:proofErr w:type="spellEnd"/>
      <w:r w:rsidRPr="00095B83">
        <w:rPr>
          <w:szCs w:val="22"/>
        </w:rPr>
        <w:t xml:space="preserve"> of that certain contract No. </w:t>
      </w:r>
      <w:proofErr w:type="spellStart"/>
      <w:r w:rsidRPr="00095B83">
        <w:rPr>
          <w:szCs w:val="22"/>
        </w:rPr>
        <w:t>xxxxxxxxxxxx</w:t>
      </w:r>
      <w:proofErr w:type="spellEnd"/>
      <w:r w:rsidRPr="00095B83">
        <w:rPr>
          <w:szCs w:val="22"/>
        </w:rPr>
        <w:t xml:space="preserve"> for </w:t>
      </w:r>
      <w:r w:rsidR="009D1313" w:rsidRPr="00095B83">
        <w:rPr>
          <w:szCs w:val="22"/>
        </w:rPr>
        <w:t>Data TDM</w:t>
      </w:r>
      <w:r w:rsidR="004376BA" w:rsidRPr="00095B83">
        <w:rPr>
          <w:szCs w:val="22"/>
        </w:rPr>
        <w:t xml:space="preserve"> </w:t>
      </w:r>
      <w:r w:rsidRPr="00095B83">
        <w:rPr>
          <w:szCs w:val="22"/>
        </w:rPr>
        <w:t>Services.</w:t>
      </w:r>
    </w:p>
    <w:p w14:paraId="049AC555" w14:textId="77777777" w:rsidR="00E2727D" w:rsidRPr="00095B83" w:rsidRDefault="00E2727D" w:rsidP="00E2727D">
      <w:pPr>
        <w:pStyle w:val="BodyText"/>
        <w:jc w:val="center"/>
        <w:rPr>
          <w:b/>
          <w:szCs w:val="22"/>
        </w:rPr>
      </w:pPr>
      <w:r w:rsidRPr="00095B83">
        <w:rPr>
          <w:b/>
          <w:szCs w:val="22"/>
          <w:u w:val="single"/>
        </w:rPr>
        <w:t>Recitals</w:t>
      </w:r>
    </w:p>
    <w:p w14:paraId="409103AD" w14:textId="5A4B3DE3" w:rsidR="00E2727D" w:rsidRPr="00095B83" w:rsidRDefault="00E2727D" w:rsidP="00E2727D">
      <w:pPr>
        <w:pStyle w:val="BodyText"/>
        <w:rPr>
          <w:szCs w:val="22"/>
        </w:rPr>
      </w:pPr>
      <w:r w:rsidRPr="00095B83">
        <w:rPr>
          <w:szCs w:val="22"/>
        </w:rPr>
        <w:t xml:space="preserve">NOW THEREFORE, for valuable consideration, the receipt and sufficiency of which is hereby acknowledged by the Parties, the Parties hereby agree as follows.  Unless otherwise defined, capitalized terms in this Amendment have the meanings ascribed to them in the Contract. The terms and conditions of the </w:t>
      </w:r>
      <w:r w:rsidR="00AE3A6C">
        <w:rPr>
          <w:szCs w:val="22"/>
        </w:rPr>
        <w:t>Network</w:t>
      </w:r>
      <w:r w:rsidRPr="00095B83">
        <w:rPr>
          <w:szCs w:val="22"/>
        </w:rPr>
        <w:t xml:space="preserve"> Services Agreement, and </w:t>
      </w:r>
      <w:r w:rsidR="00B30EC1" w:rsidRPr="00095B83">
        <w:rPr>
          <w:szCs w:val="22"/>
        </w:rPr>
        <w:t>Data TDM</w:t>
      </w:r>
      <w:r w:rsidR="004376BA" w:rsidRPr="00095B83">
        <w:rPr>
          <w:szCs w:val="22"/>
        </w:rPr>
        <w:t xml:space="preserve"> </w:t>
      </w:r>
      <w:r w:rsidRPr="00095B83">
        <w:rPr>
          <w:szCs w:val="22"/>
        </w:rPr>
        <w:t>Addendum are hereby restated and incorporated by reference in their entirety.</w:t>
      </w:r>
    </w:p>
    <w:p w14:paraId="1646EDB9" w14:textId="77777777" w:rsidR="00E2727D" w:rsidRPr="00095B83" w:rsidRDefault="00E2727D" w:rsidP="00CD5E8A">
      <w:pPr>
        <w:pStyle w:val="Heading1"/>
        <w:numPr>
          <w:ilvl w:val="0"/>
          <w:numId w:val="33"/>
        </w:numPr>
        <w:rPr>
          <w:sz w:val="22"/>
          <w:szCs w:val="22"/>
        </w:rPr>
      </w:pPr>
      <w:r w:rsidRPr="00095B83">
        <w:rPr>
          <w:sz w:val="22"/>
          <w:szCs w:val="22"/>
        </w:rPr>
        <w:t>Term:</w:t>
      </w:r>
    </w:p>
    <w:p w14:paraId="3A1A9EEF" w14:textId="77777777" w:rsidR="00E2727D" w:rsidRPr="00095B83" w:rsidRDefault="00E2727D" w:rsidP="00102FFE">
      <w:pPr>
        <w:pStyle w:val="BlockText"/>
        <w:ind w:right="0"/>
        <w:rPr>
          <w:b/>
          <w:i w:val="0"/>
          <w:noProof/>
          <w:color w:val="auto"/>
          <w:kern w:val="28"/>
          <w:sz w:val="22"/>
          <w:szCs w:val="22"/>
        </w:rPr>
      </w:pPr>
      <w:r w:rsidRPr="00095B83">
        <w:rPr>
          <w:i w:val="0"/>
          <w:color w:val="auto"/>
          <w:sz w:val="22"/>
          <w:szCs w:val="22"/>
        </w:rPr>
        <w:t xml:space="preserve">The Service Term shall be </w:t>
      </w:r>
      <w:proofErr w:type="gramStart"/>
      <w:r w:rsidRPr="00095B83">
        <w:rPr>
          <w:i w:val="0"/>
          <w:color w:val="auto"/>
          <w:sz w:val="22"/>
          <w:szCs w:val="22"/>
        </w:rPr>
        <w:t>thirty six</w:t>
      </w:r>
      <w:proofErr w:type="gramEnd"/>
      <w:r w:rsidRPr="00095B83">
        <w:rPr>
          <w:i w:val="0"/>
          <w:color w:val="auto"/>
          <w:sz w:val="22"/>
          <w:szCs w:val="22"/>
        </w:rPr>
        <w:t xml:space="preserve"> (36) months, commencing upon the d</w:t>
      </w:r>
      <w:r w:rsidR="00102FFE" w:rsidRPr="00095B83">
        <w:rPr>
          <w:i w:val="0"/>
          <w:color w:val="auto"/>
          <w:sz w:val="22"/>
          <w:szCs w:val="22"/>
        </w:rPr>
        <w:t xml:space="preserve">ate of the Service </w:t>
      </w:r>
      <w:r w:rsidR="00102FFE" w:rsidRPr="00095B83">
        <w:rPr>
          <w:b/>
          <w:i w:val="0"/>
          <w:noProof/>
          <w:color w:val="auto"/>
          <w:kern w:val="28"/>
          <w:sz w:val="22"/>
          <w:szCs w:val="22"/>
        </w:rPr>
        <w:t xml:space="preserve">Acceptance. </w:t>
      </w:r>
    </w:p>
    <w:p w14:paraId="2A5010AA" w14:textId="77777777" w:rsidR="00E2727D" w:rsidRPr="00095B83" w:rsidRDefault="00E2727D" w:rsidP="00E2727D">
      <w:pPr>
        <w:pStyle w:val="BlockText"/>
        <w:ind w:right="0"/>
        <w:rPr>
          <w:i w:val="0"/>
          <w:color w:val="auto"/>
          <w:sz w:val="22"/>
          <w:szCs w:val="22"/>
        </w:rPr>
      </w:pPr>
    </w:p>
    <w:p w14:paraId="5C9C1B6E" w14:textId="34E4AFFE" w:rsidR="00E2727D" w:rsidRPr="00095B83" w:rsidRDefault="00E2727D" w:rsidP="00E2727D">
      <w:pPr>
        <w:pStyle w:val="BlockText"/>
        <w:ind w:right="0"/>
        <w:rPr>
          <w:i w:val="0"/>
          <w:color w:val="auto"/>
          <w:sz w:val="22"/>
          <w:szCs w:val="22"/>
        </w:rPr>
      </w:pPr>
      <w:r w:rsidRPr="00095B83">
        <w:rPr>
          <w:i w:val="0"/>
          <w:color w:val="auto"/>
          <w:sz w:val="22"/>
          <w:szCs w:val="22"/>
        </w:rPr>
        <w:t xml:space="preserve">This SOW shall be effective as of the date executed by </w:t>
      </w:r>
      <w:r w:rsidR="00061E6E">
        <w:rPr>
          <w:i w:val="0"/>
          <w:color w:val="auto"/>
          <w:sz w:val="22"/>
          <w:szCs w:val="22"/>
        </w:rPr>
        <w:t>WaTech</w:t>
      </w:r>
      <w:r w:rsidRPr="00095B83">
        <w:rPr>
          <w:i w:val="0"/>
          <w:color w:val="auto"/>
          <w:sz w:val="22"/>
          <w:szCs w:val="22"/>
        </w:rPr>
        <w:t xml:space="preserve"> (the </w:t>
      </w:r>
      <w:r w:rsidR="00A87C30">
        <w:rPr>
          <w:i w:val="0"/>
          <w:color w:val="auto"/>
          <w:sz w:val="22"/>
          <w:szCs w:val="22"/>
        </w:rPr>
        <w:t>“</w:t>
      </w:r>
      <w:r w:rsidRPr="00095B83">
        <w:rPr>
          <w:i w:val="0"/>
          <w:color w:val="auto"/>
          <w:sz w:val="22"/>
          <w:szCs w:val="22"/>
        </w:rPr>
        <w:t>Effective Date</w:t>
      </w:r>
      <w:r w:rsidR="00A87C30">
        <w:rPr>
          <w:i w:val="0"/>
          <w:color w:val="auto"/>
          <w:sz w:val="22"/>
          <w:szCs w:val="22"/>
        </w:rPr>
        <w:t>”</w:t>
      </w:r>
      <w:r w:rsidRPr="00095B83">
        <w:rPr>
          <w:i w:val="0"/>
          <w:color w:val="auto"/>
          <w:sz w:val="22"/>
          <w:szCs w:val="22"/>
        </w:rPr>
        <w:t>) and continue in full force and effect for the duration of the Service Term measured from the Service Acceptance for each site covered by this SOW.</w:t>
      </w:r>
    </w:p>
    <w:p w14:paraId="6BD52459" w14:textId="77777777" w:rsidR="00E2727D" w:rsidRPr="00095B83" w:rsidRDefault="00E2727D" w:rsidP="00CD5E8A">
      <w:pPr>
        <w:pStyle w:val="Heading1"/>
        <w:numPr>
          <w:ilvl w:val="0"/>
          <w:numId w:val="33"/>
        </w:numPr>
        <w:rPr>
          <w:sz w:val="22"/>
          <w:szCs w:val="22"/>
        </w:rPr>
      </w:pPr>
      <w:r w:rsidRPr="00095B83">
        <w:rPr>
          <w:sz w:val="22"/>
          <w:szCs w:val="22"/>
        </w:rPr>
        <w:t>Service Delivery Locations.</w:t>
      </w:r>
    </w:p>
    <w:p w14:paraId="6AE05EEB" w14:textId="77777777" w:rsidR="00E2727D" w:rsidRPr="00095B83" w:rsidRDefault="00E2727D" w:rsidP="00E2727D">
      <w:pPr>
        <w:pStyle w:val="BlockText"/>
        <w:ind w:right="0"/>
        <w:rPr>
          <w:i w:val="0"/>
          <w:color w:val="auto"/>
          <w:sz w:val="22"/>
          <w:szCs w:val="22"/>
        </w:rPr>
      </w:pPr>
      <w:r w:rsidRPr="00095B83">
        <w:rPr>
          <w:i w:val="0"/>
          <w:color w:val="auto"/>
          <w:sz w:val="22"/>
          <w:szCs w:val="22"/>
        </w:rPr>
        <w:t xml:space="preserve">Contractor agrees to provide, </w:t>
      </w:r>
      <w:proofErr w:type="gramStart"/>
      <w:r w:rsidRPr="00095B83">
        <w:rPr>
          <w:i w:val="0"/>
          <w:color w:val="auto"/>
          <w:sz w:val="22"/>
          <w:szCs w:val="22"/>
        </w:rPr>
        <w:t>at all times</w:t>
      </w:r>
      <w:proofErr w:type="gramEnd"/>
      <w:r w:rsidRPr="00095B83">
        <w:rPr>
          <w:i w:val="0"/>
          <w:color w:val="auto"/>
          <w:sz w:val="22"/>
          <w:szCs w:val="22"/>
        </w:rPr>
        <w:t xml:space="preserve"> during the Term of this SOW, </w:t>
      </w:r>
      <w:r w:rsidR="00B30EC1" w:rsidRPr="00095B83">
        <w:rPr>
          <w:i w:val="0"/>
          <w:color w:val="auto"/>
          <w:sz w:val="22"/>
          <w:szCs w:val="22"/>
        </w:rPr>
        <w:t>Data TDM</w:t>
      </w:r>
      <w:r w:rsidR="004376BA" w:rsidRPr="00095B83">
        <w:rPr>
          <w:i w:val="0"/>
          <w:color w:val="auto"/>
          <w:sz w:val="22"/>
          <w:szCs w:val="22"/>
        </w:rPr>
        <w:t xml:space="preserve"> </w:t>
      </w:r>
      <w:r w:rsidRPr="00095B83">
        <w:rPr>
          <w:i w:val="0"/>
          <w:color w:val="auto"/>
          <w:sz w:val="22"/>
          <w:szCs w:val="22"/>
        </w:rPr>
        <w:t xml:space="preserve">Services at the throughput, price, quantity, and features at each address specified in Exhibit 1. </w:t>
      </w:r>
    </w:p>
    <w:p w14:paraId="3CA64F7D" w14:textId="77777777" w:rsidR="00E2727D" w:rsidRPr="00095B83" w:rsidRDefault="00E2727D" w:rsidP="00CD5E8A">
      <w:pPr>
        <w:pStyle w:val="Heading1"/>
        <w:numPr>
          <w:ilvl w:val="0"/>
          <w:numId w:val="33"/>
        </w:numPr>
        <w:rPr>
          <w:sz w:val="22"/>
          <w:szCs w:val="22"/>
        </w:rPr>
      </w:pPr>
      <w:r w:rsidRPr="00095B83">
        <w:rPr>
          <w:sz w:val="22"/>
          <w:szCs w:val="22"/>
        </w:rPr>
        <w:t>Special Terms:</w:t>
      </w:r>
    </w:p>
    <w:p w14:paraId="53443A76" w14:textId="77777777" w:rsidR="00E2727D" w:rsidRPr="00095B83" w:rsidRDefault="00E2727D" w:rsidP="00CD5E8A">
      <w:pPr>
        <w:pStyle w:val="Heading1"/>
        <w:numPr>
          <w:ilvl w:val="1"/>
          <w:numId w:val="33"/>
        </w:numPr>
        <w:rPr>
          <w:b w:val="0"/>
          <w:sz w:val="22"/>
          <w:szCs w:val="22"/>
        </w:rPr>
      </w:pPr>
      <w:r w:rsidRPr="00095B83">
        <w:rPr>
          <w:b w:val="0"/>
          <w:sz w:val="22"/>
          <w:szCs w:val="22"/>
        </w:rPr>
        <w:t>(Special Instructions from the RFP, Special Handoff – if requested, background check if required, extended demarc requests etc.)</w:t>
      </w:r>
    </w:p>
    <w:p w14:paraId="7B83A8B7" w14:textId="77777777" w:rsidR="00E2727D" w:rsidRPr="00095B83" w:rsidRDefault="00E2727D" w:rsidP="00CD5E8A">
      <w:pPr>
        <w:pStyle w:val="Heading1"/>
        <w:numPr>
          <w:ilvl w:val="0"/>
          <w:numId w:val="33"/>
        </w:numPr>
        <w:rPr>
          <w:sz w:val="22"/>
          <w:szCs w:val="22"/>
        </w:rPr>
      </w:pPr>
      <w:r w:rsidRPr="00095B83">
        <w:rPr>
          <w:sz w:val="22"/>
          <w:szCs w:val="22"/>
        </w:rPr>
        <w:t xml:space="preserve">Contractor’s Response. </w:t>
      </w:r>
    </w:p>
    <w:p w14:paraId="04EC6B3F" w14:textId="50458D49" w:rsidR="00E2727D" w:rsidRPr="00095B83" w:rsidRDefault="00E2727D" w:rsidP="00CD5E8A">
      <w:pPr>
        <w:pStyle w:val="Heading1"/>
        <w:numPr>
          <w:ilvl w:val="1"/>
          <w:numId w:val="33"/>
        </w:numPr>
        <w:rPr>
          <w:b w:val="0"/>
          <w:sz w:val="22"/>
          <w:szCs w:val="22"/>
        </w:rPr>
      </w:pPr>
      <w:r w:rsidRPr="00095B83">
        <w:rPr>
          <w:b w:val="0"/>
          <w:sz w:val="22"/>
          <w:szCs w:val="22"/>
        </w:rPr>
        <w:t xml:space="preserve">A copy of Contractor’s response to the </w:t>
      </w:r>
      <w:r w:rsidR="00061E6E">
        <w:rPr>
          <w:b w:val="0"/>
          <w:sz w:val="22"/>
          <w:szCs w:val="22"/>
        </w:rPr>
        <w:t>WaTech’s</w:t>
      </w:r>
      <w:r w:rsidRPr="00095B83">
        <w:rPr>
          <w:b w:val="0"/>
          <w:sz w:val="22"/>
          <w:szCs w:val="22"/>
        </w:rPr>
        <w:t xml:space="preserve"> Procurement resulting in this award is attached as Exhibit 2 as is incorporated by reference as if fully set forth herein. </w:t>
      </w:r>
    </w:p>
    <w:p w14:paraId="7CDAFF9D" w14:textId="77777777" w:rsidR="00E2727D" w:rsidRPr="00095B83" w:rsidRDefault="00E2727D" w:rsidP="00CD5E8A">
      <w:pPr>
        <w:pStyle w:val="Heading1"/>
        <w:numPr>
          <w:ilvl w:val="1"/>
          <w:numId w:val="33"/>
        </w:numPr>
        <w:rPr>
          <w:b w:val="0"/>
          <w:sz w:val="22"/>
          <w:szCs w:val="22"/>
        </w:rPr>
      </w:pPr>
      <w:r w:rsidRPr="00095B83">
        <w:rPr>
          <w:b w:val="0"/>
          <w:sz w:val="22"/>
          <w:szCs w:val="22"/>
        </w:rPr>
        <w:t xml:space="preserve">In the event the Parties need to exercise any options available on the procurement but not accepted in this SOW, the Parties will execute an amendment reflecting the exercise of said options. </w:t>
      </w:r>
    </w:p>
    <w:p w14:paraId="788D1EEC" w14:textId="77777777" w:rsidR="00E2727D" w:rsidRPr="00095B83" w:rsidRDefault="00E2727D" w:rsidP="00CD5E8A">
      <w:pPr>
        <w:pStyle w:val="Heading1"/>
        <w:numPr>
          <w:ilvl w:val="1"/>
          <w:numId w:val="33"/>
        </w:numPr>
        <w:rPr>
          <w:b w:val="0"/>
          <w:sz w:val="22"/>
          <w:szCs w:val="22"/>
        </w:rPr>
      </w:pPr>
      <w:r w:rsidRPr="00095B83">
        <w:rPr>
          <w:b w:val="0"/>
          <w:sz w:val="22"/>
          <w:szCs w:val="22"/>
        </w:rPr>
        <w:t xml:space="preserve">In the event of a conflict between the Response and this SOW, the SOW prevails. </w:t>
      </w:r>
    </w:p>
    <w:p w14:paraId="58E82B5C" w14:textId="77777777" w:rsidR="00510030" w:rsidRDefault="00510030">
      <w:pPr>
        <w:spacing w:after="160" w:line="259" w:lineRule="auto"/>
        <w:rPr>
          <w:b/>
          <w:i/>
        </w:rPr>
      </w:pPr>
      <w:r>
        <w:rPr>
          <w:b/>
          <w:i/>
        </w:rPr>
        <w:br w:type="page"/>
      </w:r>
    </w:p>
    <w:p w14:paraId="5DD44A5A" w14:textId="77777777" w:rsidR="00A340B7" w:rsidRPr="00095B83" w:rsidRDefault="00A340B7" w:rsidP="00A340B7">
      <w:pPr>
        <w:keepNext/>
        <w:spacing w:after="120"/>
        <w:ind w:right="-360"/>
      </w:pPr>
      <w:r w:rsidRPr="00095B83">
        <w:rPr>
          <w:b/>
          <w:i/>
        </w:rPr>
        <w:lastRenderedPageBreak/>
        <w:t>In Witness Whereof</w:t>
      </w:r>
      <w:r w:rsidRPr="00095B83">
        <w:t xml:space="preserve">, the Parties hereto, having read this Statement of Work to Contract Number </w:t>
      </w:r>
      <w:proofErr w:type="spellStart"/>
      <w:r w:rsidRPr="00095B83">
        <w:rPr>
          <w:i/>
          <w:color w:val="FF0000"/>
        </w:rPr>
        <w:t>xxxxxxxxxxxxxxxxxx</w:t>
      </w:r>
      <w:proofErr w:type="spellEnd"/>
      <w:r w:rsidRPr="00095B83">
        <w:rPr>
          <w:i/>
        </w:rPr>
        <w:t xml:space="preserve"> </w:t>
      </w:r>
      <w:r w:rsidRPr="00095B83">
        <w:t xml:space="preserve">in its entirety, do agree thereto in </w:t>
      </w:r>
      <w:proofErr w:type="gramStart"/>
      <w:r w:rsidRPr="00095B83">
        <w:t>each and every</w:t>
      </w:r>
      <w:proofErr w:type="gramEnd"/>
      <w:r w:rsidRPr="00095B83">
        <w:t xml:space="preserve"> particular.</w:t>
      </w:r>
    </w:p>
    <w:tbl>
      <w:tblPr>
        <w:tblW w:w="0" w:type="auto"/>
        <w:tblLayout w:type="fixed"/>
        <w:tblLook w:val="0000" w:firstRow="0" w:lastRow="0" w:firstColumn="0" w:lastColumn="0" w:noHBand="0" w:noVBand="0"/>
      </w:tblPr>
      <w:tblGrid>
        <w:gridCol w:w="450"/>
        <w:gridCol w:w="4068"/>
        <w:gridCol w:w="450"/>
        <w:gridCol w:w="72"/>
        <w:gridCol w:w="4518"/>
      </w:tblGrid>
      <w:tr w:rsidR="00A340B7" w:rsidRPr="00095B83" w14:paraId="3334BAEE" w14:textId="77777777" w:rsidTr="0073370C">
        <w:tc>
          <w:tcPr>
            <w:tcW w:w="4518" w:type="dxa"/>
            <w:gridSpan w:val="2"/>
          </w:tcPr>
          <w:p w14:paraId="3435480C" w14:textId="77777777" w:rsidR="00A340B7" w:rsidRPr="00095B83" w:rsidRDefault="00A340B7" w:rsidP="0073370C">
            <w:pPr>
              <w:rPr>
                <w:b/>
              </w:rPr>
            </w:pPr>
          </w:p>
          <w:p w14:paraId="7B19B6AB" w14:textId="77777777" w:rsidR="00A340B7" w:rsidRPr="00095B83" w:rsidRDefault="00A340B7" w:rsidP="0073370C">
            <w:pPr>
              <w:rPr>
                <w:b/>
                <w:i/>
              </w:rPr>
            </w:pPr>
            <w:r w:rsidRPr="00095B83">
              <w:rPr>
                <w:b/>
              </w:rPr>
              <w:t>Approved</w:t>
            </w:r>
          </w:p>
        </w:tc>
        <w:tc>
          <w:tcPr>
            <w:tcW w:w="450" w:type="dxa"/>
          </w:tcPr>
          <w:p w14:paraId="2481B4CF" w14:textId="77777777" w:rsidR="00A340B7" w:rsidRPr="00095B83" w:rsidRDefault="00A340B7" w:rsidP="0073370C">
            <w:pPr>
              <w:rPr>
                <w:b/>
                <w:i/>
              </w:rPr>
            </w:pPr>
          </w:p>
        </w:tc>
        <w:tc>
          <w:tcPr>
            <w:tcW w:w="4590" w:type="dxa"/>
            <w:gridSpan w:val="2"/>
          </w:tcPr>
          <w:p w14:paraId="1F023840" w14:textId="77777777" w:rsidR="00A340B7" w:rsidRPr="00095B83" w:rsidRDefault="00A340B7" w:rsidP="0073370C">
            <w:pPr>
              <w:rPr>
                <w:b/>
                <w:i/>
              </w:rPr>
            </w:pPr>
          </w:p>
        </w:tc>
      </w:tr>
      <w:tr w:rsidR="00A340B7" w:rsidRPr="00095B83" w14:paraId="1CF5BABD" w14:textId="77777777" w:rsidTr="0073370C">
        <w:tc>
          <w:tcPr>
            <w:tcW w:w="4518" w:type="dxa"/>
            <w:gridSpan w:val="2"/>
          </w:tcPr>
          <w:p w14:paraId="08F40179" w14:textId="77777777" w:rsidR="00A340B7" w:rsidRPr="00095B83" w:rsidRDefault="00A340B7" w:rsidP="0073370C">
            <w:pPr>
              <w:rPr>
                <w:b/>
                <w:i/>
              </w:rPr>
            </w:pPr>
          </w:p>
        </w:tc>
        <w:tc>
          <w:tcPr>
            <w:tcW w:w="450" w:type="dxa"/>
          </w:tcPr>
          <w:p w14:paraId="13E93D9A" w14:textId="77777777" w:rsidR="00A340B7" w:rsidRPr="00095B83" w:rsidRDefault="00A340B7" w:rsidP="0073370C">
            <w:pPr>
              <w:rPr>
                <w:b/>
                <w:i/>
              </w:rPr>
            </w:pPr>
          </w:p>
        </w:tc>
        <w:tc>
          <w:tcPr>
            <w:tcW w:w="4590" w:type="dxa"/>
            <w:gridSpan w:val="2"/>
          </w:tcPr>
          <w:p w14:paraId="75ECEAB9" w14:textId="77777777" w:rsidR="00A340B7" w:rsidRPr="00095B83" w:rsidRDefault="00A340B7" w:rsidP="0073370C">
            <w:pPr>
              <w:rPr>
                <w:b/>
                <w:i/>
              </w:rPr>
            </w:pPr>
          </w:p>
        </w:tc>
      </w:tr>
      <w:tr w:rsidR="00A340B7" w:rsidRPr="00095B83" w14:paraId="67EA9C94" w14:textId="77777777" w:rsidTr="0073370C">
        <w:trPr>
          <w:gridAfter w:val="1"/>
          <w:wAfter w:w="4518" w:type="dxa"/>
          <w:trHeight w:val="369"/>
        </w:trPr>
        <w:tc>
          <w:tcPr>
            <w:tcW w:w="450" w:type="dxa"/>
          </w:tcPr>
          <w:p w14:paraId="1A099E22" w14:textId="77777777" w:rsidR="00A340B7" w:rsidRPr="00095B83" w:rsidRDefault="00A340B7" w:rsidP="0073370C">
            <w:pPr>
              <w:rPr>
                <w:b/>
                <w:i/>
              </w:rPr>
            </w:pPr>
          </w:p>
        </w:tc>
        <w:tc>
          <w:tcPr>
            <w:tcW w:w="4590" w:type="dxa"/>
            <w:gridSpan w:val="3"/>
          </w:tcPr>
          <w:p w14:paraId="7E043E0A" w14:textId="77777777" w:rsidR="00A340B7" w:rsidRPr="00095B83" w:rsidRDefault="00A340B7" w:rsidP="0073370C">
            <w:pPr>
              <w:rPr>
                <w:b/>
              </w:rPr>
            </w:pPr>
          </w:p>
          <w:p w14:paraId="03CCEE9D" w14:textId="77777777" w:rsidR="00A340B7" w:rsidRPr="00095B83" w:rsidRDefault="00A340B7" w:rsidP="0073370C">
            <w:pPr>
              <w:rPr>
                <w:b/>
              </w:rPr>
            </w:pPr>
          </w:p>
        </w:tc>
      </w:tr>
      <w:tr w:rsidR="00A340B7" w:rsidRPr="00095B83" w14:paraId="6A56B038" w14:textId="77777777" w:rsidTr="0073370C">
        <w:trPr>
          <w:gridAfter w:val="1"/>
          <w:wAfter w:w="4518" w:type="dxa"/>
        </w:trPr>
        <w:tc>
          <w:tcPr>
            <w:tcW w:w="450" w:type="dxa"/>
          </w:tcPr>
          <w:p w14:paraId="2E85C5AA" w14:textId="77777777" w:rsidR="00A340B7" w:rsidRPr="00095B83" w:rsidRDefault="00A340B7" w:rsidP="0073370C">
            <w:pPr>
              <w:rPr>
                <w:i/>
                <w:iCs/>
                <w:sz w:val="18"/>
              </w:rPr>
            </w:pPr>
          </w:p>
        </w:tc>
        <w:tc>
          <w:tcPr>
            <w:tcW w:w="4590" w:type="dxa"/>
            <w:gridSpan w:val="3"/>
            <w:tcBorders>
              <w:top w:val="single" w:sz="12" w:space="0" w:color="auto"/>
            </w:tcBorders>
          </w:tcPr>
          <w:p w14:paraId="5CFCD3D0" w14:textId="77777777" w:rsidR="00A340B7" w:rsidRPr="00095B83" w:rsidRDefault="00A340B7" w:rsidP="0073370C">
            <w:pPr>
              <w:rPr>
                <w:i/>
                <w:iCs/>
                <w:sz w:val="18"/>
              </w:rPr>
            </w:pPr>
            <w:r w:rsidRPr="00095B83">
              <w:rPr>
                <w:i/>
                <w:iCs/>
                <w:sz w:val="18"/>
              </w:rPr>
              <w:t>Signature</w:t>
            </w:r>
          </w:p>
        </w:tc>
      </w:tr>
      <w:tr w:rsidR="00A340B7" w:rsidRPr="00095B83" w14:paraId="35A80BF4" w14:textId="77777777" w:rsidTr="0073370C">
        <w:trPr>
          <w:gridAfter w:val="1"/>
          <w:wAfter w:w="4518" w:type="dxa"/>
          <w:trHeight w:val="360"/>
        </w:trPr>
        <w:tc>
          <w:tcPr>
            <w:tcW w:w="450" w:type="dxa"/>
          </w:tcPr>
          <w:p w14:paraId="1AB3567F" w14:textId="77777777" w:rsidR="00A340B7" w:rsidRPr="00095B83" w:rsidRDefault="00A340B7" w:rsidP="0073370C">
            <w:pPr>
              <w:rPr>
                <w:b/>
                <w:i/>
                <w:iCs/>
                <w:sz w:val="18"/>
              </w:rPr>
            </w:pPr>
          </w:p>
        </w:tc>
        <w:tc>
          <w:tcPr>
            <w:tcW w:w="4590" w:type="dxa"/>
            <w:gridSpan w:val="3"/>
          </w:tcPr>
          <w:p w14:paraId="6D0A0D2B" w14:textId="77777777" w:rsidR="00A340B7" w:rsidRPr="00095B83" w:rsidRDefault="00A340B7" w:rsidP="0073370C">
            <w:pPr>
              <w:rPr>
                <w:b/>
                <w:i/>
                <w:iCs/>
                <w:sz w:val="18"/>
              </w:rPr>
            </w:pPr>
          </w:p>
        </w:tc>
      </w:tr>
      <w:tr w:rsidR="00A340B7" w:rsidRPr="00095B83" w14:paraId="13494013" w14:textId="77777777" w:rsidTr="0073370C">
        <w:trPr>
          <w:gridAfter w:val="1"/>
          <w:wAfter w:w="4518" w:type="dxa"/>
          <w:trHeight w:val="600"/>
        </w:trPr>
        <w:tc>
          <w:tcPr>
            <w:tcW w:w="450" w:type="dxa"/>
          </w:tcPr>
          <w:p w14:paraId="0ADF67AF" w14:textId="77777777" w:rsidR="00A340B7" w:rsidRPr="00095B83" w:rsidRDefault="00A340B7" w:rsidP="0073370C">
            <w:pPr>
              <w:rPr>
                <w:b/>
                <w:i/>
                <w:iCs/>
                <w:sz w:val="18"/>
              </w:rPr>
            </w:pPr>
          </w:p>
        </w:tc>
        <w:tc>
          <w:tcPr>
            <w:tcW w:w="4590" w:type="dxa"/>
            <w:gridSpan w:val="3"/>
            <w:tcBorders>
              <w:top w:val="single" w:sz="12" w:space="0" w:color="auto"/>
              <w:bottom w:val="single" w:sz="12" w:space="0" w:color="auto"/>
            </w:tcBorders>
          </w:tcPr>
          <w:p w14:paraId="37996876" w14:textId="77777777" w:rsidR="00A340B7" w:rsidRPr="00095B83" w:rsidRDefault="00A340B7" w:rsidP="0073370C">
            <w:pPr>
              <w:rPr>
                <w:b/>
                <w:i/>
                <w:iCs/>
                <w:sz w:val="18"/>
              </w:rPr>
            </w:pPr>
            <w:r w:rsidRPr="00095B83">
              <w:rPr>
                <w:i/>
                <w:iCs/>
                <w:sz w:val="18"/>
              </w:rPr>
              <w:t>Print or Type Name</w:t>
            </w:r>
          </w:p>
        </w:tc>
      </w:tr>
      <w:tr w:rsidR="00A340B7" w:rsidRPr="00095B83" w14:paraId="22AAAA33" w14:textId="77777777" w:rsidTr="0073370C">
        <w:trPr>
          <w:gridAfter w:val="1"/>
          <w:wAfter w:w="4518" w:type="dxa"/>
          <w:trHeight w:val="159"/>
        </w:trPr>
        <w:tc>
          <w:tcPr>
            <w:tcW w:w="450" w:type="dxa"/>
          </w:tcPr>
          <w:p w14:paraId="7C2BDE22" w14:textId="77777777" w:rsidR="00A340B7" w:rsidRPr="00095B83" w:rsidRDefault="00A340B7" w:rsidP="0073370C">
            <w:pPr>
              <w:rPr>
                <w:b/>
                <w:i/>
                <w:iCs/>
                <w:sz w:val="18"/>
              </w:rPr>
            </w:pPr>
          </w:p>
        </w:tc>
        <w:tc>
          <w:tcPr>
            <w:tcW w:w="4590" w:type="dxa"/>
            <w:gridSpan w:val="3"/>
          </w:tcPr>
          <w:p w14:paraId="39F5B843" w14:textId="77777777" w:rsidR="00A340B7" w:rsidRPr="00095B83" w:rsidRDefault="00A340B7" w:rsidP="0073370C">
            <w:pPr>
              <w:rPr>
                <w:i/>
                <w:iCs/>
                <w:sz w:val="18"/>
              </w:rPr>
            </w:pPr>
            <w:r w:rsidRPr="00095B83">
              <w:rPr>
                <w:i/>
                <w:iCs/>
                <w:sz w:val="18"/>
              </w:rPr>
              <w:t>Title</w:t>
            </w:r>
            <w:r w:rsidRPr="00095B83">
              <w:rPr>
                <w:i/>
                <w:iCs/>
                <w:sz w:val="18"/>
              </w:rPr>
              <w:tab/>
              <w:t xml:space="preserve">                                                                      Date</w:t>
            </w:r>
          </w:p>
        </w:tc>
      </w:tr>
    </w:tbl>
    <w:p w14:paraId="0850216D" w14:textId="77777777" w:rsidR="00A340B7" w:rsidRPr="00095B83" w:rsidRDefault="00A340B7" w:rsidP="00DD19C6">
      <w:pPr>
        <w:pStyle w:val="Heading1para"/>
      </w:pPr>
    </w:p>
    <w:p w14:paraId="051EFD3C" w14:textId="77777777" w:rsidR="00E2727D" w:rsidRPr="00095B83" w:rsidRDefault="00E2727D" w:rsidP="00E2727D">
      <w:pPr>
        <w:ind w:firstLine="720"/>
        <w:rPr>
          <w:b/>
          <w:szCs w:val="22"/>
        </w:rPr>
      </w:pPr>
    </w:p>
    <w:p w14:paraId="10E5A7D6" w14:textId="77777777" w:rsidR="00E2727D" w:rsidRPr="00095B83" w:rsidRDefault="00E2727D" w:rsidP="00E2727D">
      <w:pPr>
        <w:pStyle w:val="Title"/>
        <w:ind w:firstLine="720"/>
        <w:rPr>
          <w:rFonts w:ascii="Times New Roman" w:hAnsi="Times New Roman" w:cs="Times New Roman"/>
          <w:b/>
          <w:sz w:val="22"/>
          <w:szCs w:val="22"/>
        </w:rPr>
      </w:pPr>
      <w:r w:rsidRPr="00095B83">
        <w:rPr>
          <w:rFonts w:ascii="Times New Roman" w:hAnsi="Times New Roman" w:cs="Times New Roman"/>
          <w:b/>
          <w:sz w:val="22"/>
          <w:szCs w:val="22"/>
        </w:rPr>
        <w:t>Exhibit 1:</w:t>
      </w:r>
    </w:p>
    <w:p w14:paraId="556489B1" w14:textId="77777777" w:rsidR="00A340B7" w:rsidRPr="00095B83" w:rsidRDefault="00A340B7" w:rsidP="00DD19C6">
      <w:r w:rsidRPr="00095B83">
        <w:t>SOW Site Purchases</w:t>
      </w:r>
    </w:p>
    <w:p w14:paraId="0D033A0C" w14:textId="77777777" w:rsidR="00294D12" w:rsidRPr="00095B83" w:rsidRDefault="00294D12" w:rsidP="00294D12">
      <w:pPr>
        <w:rPr>
          <w:szCs w:val="22"/>
        </w:rPr>
      </w:pP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328"/>
        <w:gridCol w:w="1476"/>
        <w:gridCol w:w="1404"/>
        <w:gridCol w:w="1126"/>
        <w:gridCol w:w="1457"/>
        <w:gridCol w:w="1186"/>
        <w:gridCol w:w="1103"/>
      </w:tblGrid>
      <w:tr w:rsidR="00E2727D" w:rsidRPr="00095B83" w14:paraId="4545E687" w14:textId="77777777" w:rsidTr="00542159">
        <w:trPr>
          <w:trHeight w:val="339"/>
        </w:trPr>
        <w:tc>
          <w:tcPr>
            <w:tcW w:w="1454" w:type="dxa"/>
            <w:vAlign w:val="center"/>
            <w:hideMark/>
          </w:tcPr>
          <w:p w14:paraId="4FD6A3AB" w14:textId="79ECC91E" w:rsidR="00E2727D" w:rsidRPr="00095B83" w:rsidRDefault="00061E6E" w:rsidP="00542159">
            <w:pPr>
              <w:jc w:val="center"/>
              <w:rPr>
                <w:b/>
                <w:szCs w:val="22"/>
              </w:rPr>
            </w:pPr>
            <w:r>
              <w:rPr>
                <w:b/>
                <w:szCs w:val="22"/>
              </w:rPr>
              <w:t>WaTech</w:t>
            </w:r>
            <w:r w:rsidR="00E2727D" w:rsidRPr="00095B83">
              <w:rPr>
                <w:b/>
                <w:szCs w:val="22"/>
              </w:rPr>
              <w:t xml:space="preserve"> User Site</w:t>
            </w:r>
          </w:p>
        </w:tc>
        <w:tc>
          <w:tcPr>
            <w:tcW w:w="1328" w:type="dxa"/>
            <w:vAlign w:val="center"/>
            <w:hideMark/>
          </w:tcPr>
          <w:p w14:paraId="7851B1A2" w14:textId="77777777" w:rsidR="00E2727D" w:rsidRPr="00095B83" w:rsidRDefault="00102FFE" w:rsidP="00542159">
            <w:pPr>
              <w:jc w:val="center"/>
              <w:rPr>
                <w:b/>
                <w:szCs w:val="22"/>
              </w:rPr>
            </w:pPr>
            <w:proofErr w:type="gramStart"/>
            <w:r w:rsidRPr="00095B83">
              <w:rPr>
                <w:b/>
                <w:szCs w:val="22"/>
              </w:rPr>
              <w:t>A</w:t>
            </w:r>
            <w:proofErr w:type="gramEnd"/>
            <w:r w:rsidRPr="00095B83">
              <w:rPr>
                <w:b/>
                <w:szCs w:val="22"/>
              </w:rPr>
              <w:t xml:space="preserve"> </w:t>
            </w:r>
            <w:r w:rsidR="00E2727D" w:rsidRPr="00095B83">
              <w:rPr>
                <w:b/>
                <w:szCs w:val="22"/>
              </w:rPr>
              <w:t>Address</w:t>
            </w:r>
          </w:p>
        </w:tc>
        <w:tc>
          <w:tcPr>
            <w:tcW w:w="1476" w:type="dxa"/>
            <w:vAlign w:val="center"/>
            <w:hideMark/>
          </w:tcPr>
          <w:p w14:paraId="71187DDF" w14:textId="77777777" w:rsidR="00E2727D" w:rsidRPr="00095B83" w:rsidRDefault="00102FFE" w:rsidP="00542159">
            <w:pPr>
              <w:jc w:val="center"/>
              <w:rPr>
                <w:b/>
                <w:szCs w:val="22"/>
              </w:rPr>
            </w:pPr>
            <w:r w:rsidRPr="00095B83">
              <w:rPr>
                <w:b/>
                <w:szCs w:val="22"/>
              </w:rPr>
              <w:t>Z Address</w:t>
            </w:r>
          </w:p>
        </w:tc>
        <w:tc>
          <w:tcPr>
            <w:tcW w:w="1404" w:type="dxa"/>
            <w:vAlign w:val="center"/>
          </w:tcPr>
          <w:p w14:paraId="53A1D51D" w14:textId="77777777" w:rsidR="00E2727D" w:rsidRPr="00095B83" w:rsidRDefault="00E2727D" w:rsidP="00542159">
            <w:pPr>
              <w:jc w:val="center"/>
              <w:rPr>
                <w:b/>
                <w:szCs w:val="22"/>
              </w:rPr>
            </w:pPr>
            <w:r w:rsidRPr="00095B83">
              <w:rPr>
                <w:b/>
                <w:szCs w:val="22"/>
              </w:rPr>
              <w:t>Service</w:t>
            </w:r>
          </w:p>
        </w:tc>
        <w:tc>
          <w:tcPr>
            <w:tcW w:w="1126" w:type="dxa"/>
            <w:vAlign w:val="center"/>
          </w:tcPr>
          <w:p w14:paraId="0279922E" w14:textId="77777777" w:rsidR="00E2727D" w:rsidRPr="00095B83" w:rsidRDefault="00E2727D" w:rsidP="00542159">
            <w:pPr>
              <w:jc w:val="center"/>
              <w:rPr>
                <w:b/>
                <w:szCs w:val="22"/>
              </w:rPr>
            </w:pPr>
            <w:r w:rsidRPr="00095B83">
              <w:rPr>
                <w:b/>
                <w:szCs w:val="22"/>
              </w:rPr>
              <w:t>Quantity</w:t>
            </w:r>
          </w:p>
        </w:tc>
        <w:tc>
          <w:tcPr>
            <w:tcW w:w="1457" w:type="dxa"/>
            <w:vAlign w:val="center"/>
          </w:tcPr>
          <w:p w14:paraId="0CE99D9F" w14:textId="77777777" w:rsidR="00E2727D" w:rsidRPr="00095B83" w:rsidRDefault="00E2727D" w:rsidP="00542159">
            <w:pPr>
              <w:jc w:val="center"/>
              <w:rPr>
                <w:b/>
                <w:szCs w:val="22"/>
              </w:rPr>
            </w:pPr>
            <w:r w:rsidRPr="00095B83">
              <w:rPr>
                <w:b/>
                <w:szCs w:val="22"/>
              </w:rPr>
              <w:t>Guaranteed Install Interval</w:t>
            </w:r>
          </w:p>
        </w:tc>
        <w:tc>
          <w:tcPr>
            <w:tcW w:w="1186" w:type="dxa"/>
            <w:vAlign w:val="center"/>
          </w:tcPr>
          <w:p w14:paraId="795084FF" w14:textId="77777777" w:rsidR="00E2727D" w:rsidRPr="00095B83" w:rsidRDefault="00E2727D" w:rsidP="00542159">
            <w:pPr>
              <w:jc w:val="center"/>
              <w:rPr>
                <w:b/>
                <w:szCs w:val="22"/>
              </w:rPr>
            </w:pPr>
            <w:r w:rsidRPr="00095B83">
              <w:rPr>
                <w:b/>
                <w:szCs w:val="22"/>
              </w:rPr>
              <w:t>MRC</w:t>
            </w:r>
          </w:p>
        </w:tc>
        <w:tc>
          <w:tcPr>
            <w:tcW w:w="1103" w:type="dxa"/>
            <w:vAlign w:val="center"/>
          </w:tcPr>
          <w:p w14:paraId="210B303A" w14:textId="77777777" w:rsidR="00E2727D" w:rsidRPr="00095B83" w:rsidRDefault="00E2727D" w:rsidP="00542159">
            <w:pPr>
              <w:jc w:val="center"/>
              <w:rPr>
                <w:b/>
                <w:szCs w:val="22"/>
              </w:rPr>
            </w:pPr>
            <w:r w:rsidRPr="00095B83">
              <w:rPr>
                <w:b/>
                <w:szCs w:val="22"/>
              </w:rPr>
              <w:t>NRC</w:t>
            </w:r>
          </w:p>
        </w:tc>
      </w:tr>
      <w:tr w:rsidR="00E2727D" w:rsidRPr="00095B83" w14:paraId="53168F8A" w14:textId="77777777" w:rsidTr="00542159">
        <w:trPr>
          <w:trHeight w:val="339"/>
        </w:trPr>
        <w:tc>
          <w:tcPr>
            <w:tcW w:w="1454" w:type="dxa"/>
            <w:vAlign w:val="center"/>
            <w:hideMark/>
          </w:tcPr>
          <w:p w14:paraId="25A9B17F" w14:textId="77777777" w:rsidR="00E2727D" w:rsidRPr="00095B83" w:rsidRDefault="00E2727D" w:rsidP="00542159">
            <w:pPr>
              <w:jc w:val="center"/>
              <w:rPr>
                <w:szCs w:val="22"/>
              </w:rPr>
            </w:pPr>
            <w:r w:rsidRPr="00095B83">
              <w:rPr>
                <w:szCs w:val="22"/>
              </w:rPr>
              <w:t>Agency</w:t>
            </w:r>
          </w:p>
        </w:tc>
        <w:tc>
          <w:tcPr>
            <w:tcW w:w="1328" w:type="dxa"/>
            <w:vAlign w:val="center"/>
            <w:hideMark/>
          </w:tcPr>
          <w:p w14:paraId="7A0B108D" w14:textId="77777777" w:rsidR="00E2727D" w:rsidRPr="00095B83" w:rsidRDefault="00E2727D" w:rsidP="00542159">
            <w:pPr>
              <w:jc w:val="center"/>
              <w:rPr>
                <w:szCs w:val="22"/>
              </w:rPr>
            </w:pPr>
            <w:r w:rsidRPr="00095B83">
              <w:rPr>
                <w:szCs w:val="22"/>
              </w:rPr>
              <w:t>1234 W 1</w:t>
            </w:r>
            <w:r w:rsidRPr="00095B83">
              <w:rPr>
                <w:szCs w:val="22"/>
                <w:vertAlign w:val="superscript"/>
              </w:rPr>
              <w:t>st</w:t>
            </w:r>
            <w:r w:rsidRPr="00095B83">
              <w:rPr>
                <w:szCs w:val="22"/>
              </w:rPr>
              <w:t xml:space="preserve"> Street</w:t>
            </w:r>
            <w:r w:rsidR="00102FFE" w:rsidRPr="00095B83">
              <w:rPr>
                <w:szCs w:val="22"/>
              </w:rPr>
              <w:t>, Seattle</w:t>
            </w:r>
          </w:p>
        </w:tc>
        <w:tc>
          <w:tcPr>
            <w:tcW w:w="1476" w:type="dxa"/>
            <w:vAlign w:val="center"/>
            <w:hideMark/>
          </w:tcPr>
          <w:p w14:paraId="1586F300" w14:textId="77777777" w:rsidR="00E2727D" w:rsidRPr="00095B83" w:rsidRDefault="00102FFE" w:rsidP="00102FFE">
            <w:pPr>
              <w:jc w:val="center"/>
              <w:rPr>
                <w:szCs w:val="22"/>
              </w:rPr>
            </w:pPr>
            <w:r w:rsidRPr="00095B83">
              <w:rPr>
                <w:szCs w:val="22"/>
              </w:rPr>
              <w:t>789 E 2</w:t>
            </w:r>
            <w:r w:rsidRPr="00095B83">
              <w:rPr>
                <w:szCs w:val="22"/>
                <w:vertAlign w:val="superscript"/>
              </w:rPr>
              <w:t xml:space="preserve">nd </w:t>
            </w:r>
            <w:r w:rsidRPr="00095B83">
              <w:rPr>
                <w:szCs w:val="22"/>
              </w:rPr>
              <w:t xml:space="preserve"> Street, Seattle</w:t>
            </w:r>
          </w:p>
        </w:tc>
        <w:tc>
          <w:tcPr>
            <w:tcW w:w="1404" w:type="dxa"/>
            <w:vAlign w:val="center"/>
          </w:tcPr>
          <w:p w14:paraId="7525118D" w14:textId="77777777" w:rsidR="00E2727D" w:rsidRPr="00095B83" w:rsidRDefault="00B30EC1" w:rsidP="00542159">
            <w:pPr>
              <w:jc w:val="center"/>
              <w:rPr>
                <w:szCs w:val="22"/>
              </w:rPr>
            </w:pPr>
            <w:r w:rsidRPr="00095B83">
              <w:rPr>
                <w:szCs w:val="22"/>
              </w:rPr>
              <w:t>T-1</w:t>
            </w:r>
          </w:p>
        </w:tc>
        <w:tc>
          <w:tcPr>
            <w:tcW w:w="1126" w:type="dxa"/>
            <w:vAlign w:val="center"/>
          </w:tcPr>
          <w:p w14:paraId="2A1F4429" w14:textId="77777777" w:rsidR="00E2727D" w:rsidRPr="00095B83" w:rsidRDefault="00E2727D" w:rsidP="00542159">
            <w:pPr>
              <w:jc w:val="center"/>
              <w:rPr>
                <w:szCs w:val="22"/>
              </w:rPr>
            </w:pPr>
            <w:r w:rsidRPr="00095B83">
              <w:rPr>
                <w:szCs w:val="22"/>
              </w:rPr>
              <w:t>1</w:t>
            </w:r>
          </w:p>
        </w:tc>
        <w:tc>
          <w:tcPr>
            <w:tcW w:w="1457" w:type="dxa"/>
            <w:vAlign w:val="center"/>
          </w:tcPr>
          <w:p w14:paraId="0C86AF24" w14:textId="77777777" w:rsidR="00E2727D" w:rsidRPr="00095B83" w:rsidRDefault="00E2727D" w:rsidP="00542159">
            <w:pPr>
              <w:jc w:val="center"/>
              <w:rPr>
                <w:szCs w:val="22"/>
              </w:rPr>
            </w:pPr>
            <w:r w:rsidRPr="00095B83">
              <w:rPr>
                <w:szCs w:val="22"/>
              </w:rPr>
              <w:t>30 days</w:t>
            </w:r>
          </w:p>
        </w:tc>
        <w:tc>
          <w:tcPr>
            <w:tcW w:w="1186" w:type="dxa"/>
            <w:vAlign w:val="center"/>
          </w:tcPr>
          <w:p w14:paraId="25F9AE2E" w14:textId="77777777" w:rsidR="00E2727D" w:rsidRPr="00095B83" w:rsidRDefault="00E2727D" w:rsidP="00542159">
            <w:pPr>
              <w:jc w:val="center"/>
              <w:rPr>
                <w:szCs w:val="22"/>
              </w:rPr>
            </w:pPr>
            <w:r w:rsidRPr="00095B83">
              <w:rPr>
                <w:szCs w:val="22"/>
              </w:rPr>
              <w:t>$250.00</w:t>
            </w:r>
          </w:p>
        </w:tc>
        <w:tc>
          <w:tcPr>
            <w:tcW w:w="1103" w:type="dxa"/>
            <w:vAlign w:val="center"/>
          </w:tcPr>
          <w:p w14:paraId="769BD3BA" w14:textId="77777777" w:rsidR="00E2727D" w:rsidRPr="00095B83" w:rsidRDefault="00E2727D" w:rsidP="00542159">
            <w:pPr>
              <w:jc w:val="center"/>
              <w:rPr>
                <w:szCs w:val="22"/>
              </w:rPr>
            </w:pPr>
            <w:r w:rsidRPr="00095B83">
              <w:rPr>
                <w:szCs w:val="22"/>
              </w:rPr>
              <w:t>$0</w:t>
            </w:r>
          </w:p>
        </w:tc>
      </w:tr>
    </w:tbl>
    <w:p w14:paraId="238D7C79" w14:textId="77777777" w:rsidR="00794B65" w:rsidRPr="00095B83" w:rsidRDefault="00794B65" w:rsidP="00510030">
      <w:pPr>
        <w:rPr>
          <w:sz w:val="24"/>
          <w:szCs w:val="24"/>
        </w:rPr>
      </w:pPr>
    </w:p>
    <w:sectPr w:rsidR="00794B65" w:rsidRPr="00095B8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A5DA8" w14:textId="77777777" w:rsidR="005D3264" w:rsidRDefault="005D3264" w:rsidP="00521E5A">
      <w:r>
        <w:separator/>
      </w:r>
    </w:p>
  </w:endnote>
  <w:endnote w:type="continuationSeparator" w:id="0">
    <w:p w14:paraId="789A26FA" w14:textId="77777777" w:rsidR="005D3264" w:rsidRDefault="005D3264" w:rsidP="0052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DD00C" w14:textId="5263559A" w:rsidR="00061E6E" w:rsidRPr="00061E6E" w:rsidRDefault="00061E6E" w:rsidP="00061E6E">
    <w:pPr>
      <w:pStyle w:val="Footer"/>
      <w:pBdr>
        <w:top w:val="single" w:sz="4" w:space="1" w:color="auto"/>
      </w:pBdr>
      <w:tabs>
        <w:tab w:val="center" w:pos="5040"/>
      </w:tabs>
      <w:jc w:val="both"/>
      <w:rPr>
        <w:i/>
        <w:noProof/>
        <w:sz w:val="20"/>
      </w:rPr>
    </w:pPr>
    <w:r w:rsidRPr="00061E6E">
      <w:rPr>
        <w:noProof/>
        <w:sz w:val="20"/>
      </w:rPr>
      <w:t>State of Washington</w:t>
    </w:r>
    <w:r w:rsidRPr="00061E6E">
      <w:rPr>
        <w:noProof/>
        <w:sz w:val="20"/>
      </w:rPr>
      <w:tab/>
    </w:r>
    <w:r>
      <w:rPr>
        <w:noProof/>
        <w:sz w:val="20"/>
      </w:rPr>
      <w:tab/>
    </w:r>
    <w:r w:rsidRPr="00061E6E">
      <w:rPr>
        <w:noProof/>
        <w:sz w:val="20"/>
      </w:rPr>
      <w:tab/>
    </w:r>
    <w:r w:rsidR="00AE3A6C">
      <w:rPr>
        <w:iCs/>
        <w:noProof/>
        <w:sz w:val="20"/>
      </w:rPr>
      <w:t>Network</w:t>
    </w:r>
    <w:r w:rsidRPr="00061E6E">
      <w:rPr>
        <w:iCs/>
        <w:noProof/>
        <w:sz w:val="20"/>
      </w:rPr>
      <w:t xml:space="preserve"> Services Agreement 25-XXX</w:t>
    </w:r>
  </w:p>
  <w:p w14:paraId="1C4312AF" w14:textId="711B46C8" w:rsidR="00061E6E" w:rsidRPr="00061E6E" w:rsidRDefault="00061E6E" w:rsidP="00061E6E">
    <w:pPr>
      <w:pBdr>
        <w:top w:val="single" w:sz="4" w:space="1" w:color="auto"/>
      </w:pBdr>
      <w:tabs>
        <w:tab w:val="center" w:pos="5040"/>
        <w:tab w:val="right" w:pos="9360"/>
      </w:tabs>
      <w:rPr>
        <w:noProof/>
        <w:sz w:val="20"/>
      </w:rPr>
    </w:pPr>
    <w:r w:rsidRPr="00061E6E">
      <w:rPr>
        <w:noProof/>
        <w:sz w:val="20"/>
      </w:rPr>
      <w:t>Washington Technology Solutions</w:t>
    </w:r>
    <w:r w:rsidRPr="00061E6E">
      <w:rPr>
        <w:noProof/>
        <w:sz w:val="20"/>
      </w:rPr>
      <w:tab/>
    </w:r>
    <w:r w:rsidRPr="00061E6E">
      <w:rPr>
        <w:noProof/>
        <w:sz w:val="20"/>
      </w:rPr>
      <w:tab/>
    </w:r>
    <w:r w:rsidRPr="00061E6E">
      <w:rPr>
        <w:iCs/>
        <w:noProof/>
        <w:sz w:val="20"/>
      </w:rPr>
      <w:t>Addendum 0</w:t>
    </w:r>
    <w:r>
      <w:rPr>
        <w:iCs/>
        <w:noProof/>
        <w:sz w:val="20"/>
      </w:rPr>
      <w:t>5</w:t>
    </w:r>
    <w:r w:rsidRPr="00061E6E">
      <w:rPr>
        <w:iCs/>
        <w:noProof/>
        <w:sz w:val="20"/>
      </w:rPr>
      <w:t xml:space="preserve"> – </w:t>
    </w:r>
    <w:r>
      <w:rPr>
        <w:iCs/>
        <w:noProof/>
        <w:sz w:val="20"/>
      </w:rPr>
      <w:t>TDM Services</w:t>
    </w:r>
  </w:p>
  <w:p w14:paraId="6176B145" w14:textId="54309180" w:rsidR="00061E6E" w:rsidRPr="00061E6E" w:rsidRDefault="00061E6E" w:rsidP="00061E6E">
    <w:pPr>
      <w:pStyle w:val="Footer"/>
      <w:pBdr>
        <w:top w:val="single" w:sz="4" w:space="1" w:color="auto"/>
      </w:pBdr>
      <w:tabs>
        <w:tab w:val="clear" w:pos="4680"/>
        <w:tab w:val="center" w:pos="5040"/>
      </w:tabs>
      <w:rPr>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B3530" w14:textId="77777777" w:rsidR="005D3264" w:rsidRDefault="005D3264" w:rsidP="00521E5A">
      <w:r>
        <w:separator/>
      </w:r>
    </w:p>
  </w:footnote>
  <w:footnote w:type="continuationSeparator" w:id="0">
    <w:p w14:paraId="4B80B65D" w14:textId="77777777" w:rsidR="005D3264" w:rsidRDefault="005D3264" w:rsidP="0052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F73"/>
    <w:multiLevelType w:val="hybridMultilevel"/>
    <w:tmpl w:val="AA7E44F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1F371BD"/>
    <w:multiLevelType w:val="multilevel"/>
    <w:tmpl w:val="0B900B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90"/>
        </w:tabs>
        <w:ind w:left="1890" w:hanging="360"/>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63047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712415"/>
    <w:multiLevelType w:val="hybridMultilevel"/>
    <w:tmpl w:val="83E0B166"/>
    <w:lvl w:ilvl="0" w:tplc="0FF81136">
      <w:start w:val="1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F1A0A"/>
    <w:multiLevelType w:val="multilevel"/>
    <w:tmpl w:val="66A0710E"/>
    <w:lvl w:ilvl="0">
      <w:start w:val="8"/>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06B1720"/>
    <w:multiLevelType w:val="multilevel"/>
    <w:tmpl w:val="A606C3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D317F9"/>
    <w:multiLevelType w:val="multilevel"/>
    <w:tmpl w:val="8C32CD14"/>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2970"/>
        </w:tabs>
        <w:ind w:left="297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890"/>
        </w:tabs>
        <w:ind w:left="1890" w:hanging="360"/>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71289A"/>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E915B4"/>
    <w:multiLevelType w:val="hybridMultilevel"/>
    <w:tmpl w:val="A732AF4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EB3A55"/>
    <w:multiLevelType w:val="multilevel"/>
    <w:tmpl w:val="400A39FE"/>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93117A1"/>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187CAB"/>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EE564F"/>
    <w:multiLevelType w:val="multilevel"/>
    <w:tmpl w:val="9DA8AEE6"/>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4D948FF"/>
    <w:multiLevelType w:val="multilevel"/>
    <w:tmpl w:val="4B5A220E"/>
    <w:lvl w:ilvl="0">
      <w:start w:val="1"/>
      <w:numFmt w:val="decimal"/>
      <w:lvlText w:val="%1."/>
      <w:lvlJc w:val="left"/>
      <w:pPr>
        <w:tabs>
          <w:tab w:val="num" w:pos="720"/>
        </w:tabs>
        <w:ind w:left="720" w:hanging="720"/>
      </w:pPr>
    </w:lvl>
    <w:lvl w:ilvl="1">
      <w:start w:val="1"/>
      <w:numFmt w:val="decimal"/>
      <w:lvlText w:val="%1.%2."/>
      <w:lvlJc w:val="left"/>
      <w:pPr>
        <w:tabs>
          <w:tab w:val="num" w:pos="2970"/>
        </w:tabs>
        <w:ind w:left="297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5392293"/>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5A122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9770088"/>
    <w:multiLevelType w:val="multilevel"/>
    <w:tmpl w:val="2C96FEC4"/>
    <w:lvl w:ilvl="0">
      <w:start w:val="1"/>
      <w:numFmt w:val="decimal"/>
      <w:pStyle w:val="HeadingNumbered01"/>
      <w:suff w:val="space"/>
      <w:lvlText w:val="%1."/>
      <w:lvlJc w:val="left"/>
      <w:pPr>
        <w:ind w:left="360" w:hanging="360"/>
      </w:pPr>
    </w:lvl>
    <w:lvl w:ilvl="1">
      <w:start w:val="1"/>
      <w:numFmt w:val="decimal"/>
      <w:pStyle w:val="HeadingNumbered02"/>
      <w:suff w:val="space"/>
      <w:lvlText w:val="%1.%2."/>
      <w:lvlJc w:val="left"/>
      <w:pPr>
        <w:ind w:left="1962" w:hanging="432"/>
      </w:pPr>
    </w:lvl>
    <w:lvl w:ilvl="2">
      <w:start w:val="1"/>
      <w:numFmt w:val="decimal"/>
      <w:pStyle w:val="HeadingNumbered03"/>
      <w:suff w:val="space"/>
      <w:lvlText w:val="%1.%2.%3."/>
      <w:lvlJc w:val="left"/>
      <w:pPr>
        <w:ind w:left="1224" w:hanging="504"/>
      </w:pPr>
    </w:lvl>
    <w:lvl w:ilvl="3">
      <w:start w:val="1"/>
      <w:numFmt w:val="decimal"/>
      <w:pStyle w:val="HeadingNumbered04"/>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7D455D"/>
    <w:multiLevelType w:val="multilevel"/>
    <w:tmpl w:val="61C89ED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2DE32367"/>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F656201"/>
    <w:multiLevelType w:val="hybridMultilevel"/>
    <w:tmpl w:val="F52672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1900EA8"/>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2E25458"/>
    <w:multiLevelType w:val="multilevel"/>
    <w:tmpl w:val="EF3ECC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90"/>
        </w:tabs>
        <w:ind w:left="1890" w:hanging="720"/>
      </w:pPr>
      <w:rPr>
        <w:rFonts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3713293"/>
    <w:multiLevelType w:val="multilevel"/>
    <w:tmpl w:val="D0AA93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672740E"/>
    <w:multiLevelType w:val="hybridMultilevel"/>
    <w:tmpl w:val="2C283FD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39164E0A"/>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215A91"/>
    <w:multiLevelType w:val="hybridMultilevel"/>
    <w:tmpl w:val="7D604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533F3D"/>
    <w:multiLevelType w:val="hybridMultilevel"/>
    <w:tmpl w:val="A11299E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3B8A4AF6"/>
    <w:multiLevelType w:val="hybridMultilevel"/>
    <w:tmpl w:val="2094139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D4C5C4F"/>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E545E26"/>
    <w:multiLevelType w:val="multilevel"/>
    <w:tmpl w:val="61C89ED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3E9178D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1A770A1"/>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20F6BC2"/>
    <w:multiLevelType w:val="multilevel"/>
    <w:tmpl w:val="9E3286F0"/>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68C2C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4E2C436F"/>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EA3124A"/>
    <w:multiLevelType w:val="multilevel"/>
    <w:tmpl w:val="92E253DC"/>
    <w:lvl w:ilvl="0">
      <w:start w:val="1"/>
      <w:numFmt w:val="lowerLetter"/>
      <w:lvlText w:val="%1)"/>
      <w:lvlJc w:val="left"/>
      <w:pPr>
        <w:tabs>
          <w:tab w:val="num" w:pos="2340"/>
        </w:tabs>
        <w:ind w:left="2340" w:hanging="720"/>
      </w:pPr>
    </w:lvl>
    <w:lvl w:ilvl="1">
      <w:start w:val="1"/>
      <w:numFmt w:val="lowerLetter"/>
      <w:lvlText w:val="%2)"/>
      <w:lvlJc w:val="left"/>
      <w:pPr>
        <w:tabs>
          <w:tab w:val="num" w:pos="4410"/>
        </w:tabs>
        <w:ind w:left="441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240"/>
        </w:tabs>
        <w:ind w:left="3240" w:hanging="360"/>
      </w:pPr>
      <w:rPr>
        <w:i w:val="0"/>
        <w:color w:val="auto"/>
      </w:r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38" w15:restartNumberingAfterBreak="0">
    <w:nsid w:val="50B036C1"/>
    <w:multiLevelType w:val="hybridMultilevel"/>
    <w:tmpl w:val="60701860"/>
    <w:lvl w:ilvl="0" w:tplc="19B8EF60">
      <w:start w:val="1"/>
      <w:numFmt w:val="bullet"/>
      <w:pStyle w:val="Heading3"/>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27177B4"/>
    <w:multiLevelType w:val="multilevel"/>
    <w:tmpl w:val="BCAC93C6"/>
    <w:lvl w:ilvl="0">
      <w:start w:val="1"/>
      <w:numFmt w:val="decimal"/>
      <w:lvlText w:val="%1."/>
      <w:lvlJc w:val="left"/>
      <w:pPr>
        <w:tabs>
          <w:tab w:val="num" w:pos="720"/>
        </w:tabs>
        <w:ind w:left="720" w:hanging="720"/>
      </w:pPr>
    </w:lvl>
    <w:lvl w:ilvl="1">
      <w:start w:val="1"/>
      <w:numFmt w:val="decimal"/>
      <w:lvlText w:val="%1.%2."/>
      <w:lvlJc w:val="left"/>
      <w:pPr>
        <w:tabs>
          <w:tab w:val="num" w:pos="1890"/>
        </w:tabs>
        <w:ind w:left="189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90"/>
        </w:tabs>
        <w:ind w:left="1890" w:hanging="360"/>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55A198C"/>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59D3FE0"/>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D0A027F"/>
    <w:multiLevelType w:val="multilevel"/>
    <w:tmpl w:val="EE18C9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90"/>
        </w:tabs>
        <w:ind w:left="1890" w:hanging="360"/>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5E605C3A"/>
    <w:multiLevelType w:val="hybridMultilevel"/>
    <w:tmpl w:val="D3F03BD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15:restartNumberingAfterBreak="0">
    <w:nsid w:val="607D5EC1"/>
    <w:multiLevelType w:val="multilevel"/>
    <w:tmpl w:val="92E253DC"/>
    <w:lvl w:ilvl="0">
      <w:start w:val="1"/>
      <w:numFmt w:val="lowerLetter"/>
      <w:lvlText w:val="%1)"/>
      <w:lvlJc w:val="left"/>
      <w:pPr>
        <w:tabs>
          <w:tab w:val="num" w:pos="2340"/>
        </w:tabs>
        <w:ind w:left="2340" w:hanging="720"/>
      </w:pPr>
    </w:lvl>
    <w:lvl w:ilvl="1">
      <w:start w:val="1"/>
      <w:numFmt w:val="lowerLetter"/>
      <w:lvlText w:val="%2)"/>
      <w:lvlJc w:val="left"/>
      <w:pPr>
        <w:tabs>
          <w:tab w:val="num" w:pos="4410"/>
        </w:tabs>
        <w:ind w:left="441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240"/>
        </w:tabs>
        <w:ind w:left="3240" w:hanging="360"/>
      </w:pPr>
      <w:rPr>
        <w:i w:val="0"/>
        <w:color w:val="auto"/>
      </w:r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45" w15:restartNumberingAfterBreak="0">
    <w:nsid w:val="60EF0720"/>
    <w:multiLevelType w:val="hybridMultilevel"/>
    <w:tmpl w:val="2BEEC2F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2B86846"/>
    <w:multiLevelType w:val="multilevel"/>
    <w:tmpl w:val="1094410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90"/>
        </w:tabs>
        <w:ind w:left="1890" w:hanging="720"/>
      </w:pPr>
      <w:rPr>
        <w:rFonts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094AE7"/>
    <w:multiLevelType w:val="multilevel"/>
    <w:tmpl w:val="5B8EB280"/>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48" w15:restartNumberingAfterBreak="0">
    <w:nsid w:val="69B92DA5"/>
    <w:multiLevelType w:val="hybridMultilevel"/>
    <w:tmpl w:val="A89C0A9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BC258F"/>
    <w:multiLevelType w:val="multilevel"/>
    <w:tmpl w:val="BCAC93C6"/>
    <w:lvl w:ilvl="0">
      <w:start w:val="1"/>
      <w:numFmt w:val="decimal"/>
      <w:lvlText w:val="%1."/>
      <w:lvlJc w:val="left"/>
      <w:pPr>
        <w:tabs>
          <w:tab w:val="num" w:pos="720"/>
        </w:tabs>
        <w:ind w:left="720" w:hanging="720"/>
      </w:pPr>
    </w:lvl>
    <w:lvl w:ilvl="1">
      <w:start w:val="1"/>
      <w:numFmt w:val="decimal"/>
      <w:lvlText w:val="%1.%2."/>
      <w:lvlJc w:val="left"/>
      <w:pPr>
        <w:tabs>
          <w:tab w:val="num" w:pos="2970"/>
        </w:tabs>
        <w:ind w:left="297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90"/>
        </w:tabs>
        <w:ind w:left="1890" w:hanging="360"/>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6A2B47CF"/>
    <w:multiLevelType w:val="hybridMultilevel"/>
    <w:tmpl w:val="319CAB18"/>
    <w:lvl w:ilvl="0" w:tplc="78D897B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1D3579"/>
    <w:multiLevelType w:val="hybridMultilevel"/>
    <w:tmpl w:val="EC3E9094"/>
    <w:lvl w:ilvl="0" w:tplc="306C0AC0">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D273736"/>
    <w:multiLevelType w:val="multilevel"/>
    <w:tmpl w:val="B288AFB8"/>
    <w:lvl w:ilvl="0">
      <w:start w:val="1"/>
      <w:numFmt w:val="decimal"/>
      <w:lvlText w:val="%1."/>
      <w:lvlJc w:val="left"/>
      <w:pPr>
        <w:tabs>
          <w:tab w:val="num" w:pos="720"/>
        </w:tabs>
        <w:ind w:left="720" w:hanging="720"/>
      </w:pPr>
    </w:lvl>
    <w:lvl w:ilvl="1">
      <w:start w:val="1"/>
      <w:numFmt w:val="decimal"/>
      <w:lvlText w:val="%1.%2."/>
      <w:lvlJc w:val="left"/>
      <w:pPr>
        <w:tabs>
          <w:tab w:val="num" w:pos="2970"/>
        </w:tabs>
        <w:ind w:left="297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90"/>
        </w:tabs>
        <w:ind w:left="1890" w:hanging="360"/>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6E2D0789"/>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02B7BED"/>
    <w:multiLevelType w:val="multilevel"/>
    <w:tmpl w:val="4B5A220E"/>
    <w:lvl w:ilvl="0">
      <w:start w:val="1"/>
      <w:numFmt w:val="decimal"/>
      <w:lvlText w:val="%1."/>
      <w:lvlJc w:val="left"/>
      <w:pPr>
        <w:tabs>
          <w:tab w:val="num" w:pos="720"/>
        </w:tabs>
        <w:ind w:left="720" w:hanging="720"/>
      </w:pPr>
    </w:lvl>
    <w:lvl w:ilvl="1">
      <w:start w:val="1"/>
      <w:numFmt w:val="decimal"/>
      <w:lvlText w:val="%1.%2."/>
      <w:lvlJc w:val="left"/>
      <w:pPr>
        <w:tabs>
          <w:tab w:val="num" w:pos="2970"/>
        </w:tabs>
        <w:ind w:left="297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736948DF"/>
    <w:multiLevelType w:val="hybridMultilevel"/>
    <w:tmpl w:val="3A3EB9F0"/>
    <w:lvl w:ilvl="0" w:tplc="04090017">
      <w:start w:val="1"/>
      <w:numFmt w:val="lowerLetter"/>
      <w:lvlText w:val="%1)"/>
      <w:lvlJc w:val="left"/>
      <w:pPr>
        <w:ind w:left="720" w:hanging="360"/>
      </w:pPr>
    </w:lvl>
    <w:lvl w:ilvl="1" w:tplc="04090017">
      <w:start w:val="1"/>
      <w:numFmt w:val="lowerLetter"/>
      <w:lvlText w:val="%2)"/>
      <w:lvlJc w:val="left"/>
      <w:pPr>
        <w:ind w:left="17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9E35B6"/>
    <w:multiLevelType w:val="multilevel"/>
    <w:tmpl w:val="92E253DC"/>
    <w:lvl w:ilvl="0">
      <w:start w:val="1"/>
      <w:numFmt w:val="lowerLetter"/>
      <w:lvlText w:val="%1)"/>
      <w:lvlJc w:val="left"/>
      <w:pPr>
        <w:tabs>
          <w:tab w:val="num" w:pos="2520"/>
        </w:tabs>
        <w:ind w:left="2520" w:hanging="720"/>
      </w:pPr>
    </w:lvl>
    <w:lvl w:ilvl="1">
      <w:start w:val="1"/>
      <w:numFmt w:val="lowerLetter"/>
      <w:lvlText w:val="%2)"/>
      <w:lvlJc w:val="left"/>
      <w:pPr>
        <w:tabs>
          <w:tab w:val="num" w:pos="4770"/>
        </w:tabs>
        <w:ind w:left="4770" w:hanging="720"/>
      </w:pPr>
      <w:rPr>
        <w:rFonts w:ascii="Times New Roman" w:hAnsi="Times New Roman" w:cs="Times New Roman"/>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3600"/>
        </w:tabs>
        <w:ind w:left="3600" w:hanging="360"/>
      </w:pPr>
      <w:rPr>
        <w:i w:val="0"/>
        <w:color w:val="auto"/>
      </w:rPr>
    </w:lvl>
    <w:lvl w:ilvl="3">
      <w:start w:val="1"/>
      <w:numFmt w:val="decimal"/>
      <w:lvlText w:val="%1.%2.%3.%4."/>
      <w:lvlJc w:val="left"/>
      <w:pPr>
        <w:tabs>
          <w:tab w:val="num" w:pos="3600"/>
        </w:tabs>
        <w:ind w:left="3528" w:hanging="648"/>
      </w:pPr>
    </w:lvl>
    <w:lvl w:ilvl="4">
      <w:start w:val="1"/>
      <w:numFmt w:val="decimal"/>
      <w:lvlText w:val="%1.%2.%3.%4.%5."/>
      <w:lvlJc w:val="left"/>
      <w:pPr>
        <w:tabs>
          <w:tab w:val="num" w:pos="4320"/>
        </w:tabs>
        <w:ind w:left="4032" w:hanging="792"/>
      </w:pPr>
    </w:lvl>
    <w:lvl w:ilvl="5">
      <w:start w:val="1"/>
      <w:numFmt w:val="decimal"/>
      <w:lvlText w:val="%1.%2.%3.%4.%5.%6."/>
      <w:lvlJc w:val="left"/>
      <w:pPr>
        <w:tabs>
          <w:tab w:val="num" w:pos="4680"/>
        </w:tabs>
        <w:ind w:left="4536" w:hanging="936"/>
      </w:pPr>
    </w:lvl>
    <w:lvl w:ilvl="6">
      <w:start w:val="1"/>
      <w:numFmt w:val="decimal"/>
      <w:lvlText w:val="%1.%2.%3.%4.%5.%6.%7."/>
      <w:lvlJc w:val="left"/>
      <w:pPr>
        <w:tabs>
          <w:tab w:val="num" w:pos="5400"/>
        </w:tabs>
        <w:ind w:left="5040" w:hanging="1080"/>
      </w:pPr>
    </w:lvl>
    <w:lvl w:ilvl="7">
      <w:start w:val="1"/>
      <w:numFmt w:val="decimal"/>
      <w:lvlText w:val="%1.%2.%3.%4.%5.%6.%7.%8."/>
      <w:lvlJc w:val="left"/>
      <w:pPr>
        <w:tabs>
          <w:tab w:val="num" w:pos="5760"/>
        </w:tabs>
        <w:ind w:left="5544" w:hanging="1224"/>
      </w:pPr>
    </w:lvl>
    <w:lvl w:ilvl="8">
      <w:start w:val="1"/>
      <w:numFmt w:val="decimal"/>
      <w:lvlText w:val="%1.%2.%3.%4.%5.%6.%7.%8.%9."/>
      <w:lvlJc w:val="left"/>
      <w:pPr>
        <w:tabs>
          <w:tab w:val="num" w:pos="6480"/>
        </w:tabs>
        <w:ind w:left="6120" w:hanging="1440"/>
      </w:pPr>
    </w:lvl>
  </w:abstractNum>
  <w:abstractNum w:abstractNumId="57" w15:restartNumberingAfterBreak="0">
    <w:nsid w:val="74A82DB6"/>
    <w:multiLevelType w:val="hybridMultilevel"/>
    <w:tmpl w:val="CBF03E5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61E36B2"/>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7CD53D70"/>
    <w:multiLevelType w:val="hybridMultilevel"/>
    <w:tmpl w:val="76EE18D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7D272218"/>
    <w:multiLevelType w:val="hybridMultilevel"/>
    <w:tmpl w:val="398289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718434">
    <w:abstractNumId w:val="9"/>
  </w:num>
  <w:num w:numId="2" w16cid:durableId="1529829182">
    <w:abstractNumId w:val="29"/>
  </w:num>
  <w:num w:numId="3" w16cid:durableId="1588146627">
    <w:abstractNumId w:val="59"/>
  </w:num>
  <w:num w:numId="4" w16cid:durableId="943801989">
    <w:abstractNumId w:val="50"/>
  </w:num>
  <w:num w:numId="5" w16cid:durableId="1839878379">
    <w:abstractNumId w:val="18"/>
  </w:num>
  <w:num w:numId="6" w16cid:durableId="2144039561">
    <w:abstractNumId w:val="35"/>
  </w:num>
  <w:num w:numId="7" w16cid:durableId="1167479555">
    <w:abstractNumId w:val="57"/>
  </w:num>
  <w:num w:numId="8" w16cid:durableId="826939407">
    <w:abstractNumId w:val="38"/>
  </w:num>
  <w:num w:numId="9" w16cid:durableId="118188245">
    <w:abstractNumId w:val="5"/>
  </w:num>
  <w:num w:numId="10" w16cid:durableId="261886199">
    <w:abstractNumId w:val="27"/>
  </w:num>
  <w:num w:numId="11" w16cid:durableId="1993942100">
    <w:abstractNumId w:val="31"/>
  </w:num>
  <w:num w:numId="12" w16cid:durableId="1258562252">
    <w:abstractNumId w:val="47"/>
  </w:num>
  <w:num w:numId="13" w16cid:durableId="1324089430">
    <w:abstractNumId w:val="21"/>
  </w:num>
  <w:num w:numId="14" w16cid:durableId="769817658">
    <w:abstractNumId w:val="14"/>
  </w:num>
  <w:num w:numId="15" w16cid:durableId="1574703793">
    <w:abstractNumId w:val="12"/>
  </w:num>
  <w:num w:numId="16" w16cid:durableId="858203713">
    <w:abstractNumId w:val="20"/>
  </w:num>
  <w:num w:numId="17" w16cid:durableId="518542410">
    <w:abstractNumId w:val="17"/>
  </w:num>
  <w:num w:numId="18" w16cid:durableId="1186558075">
    <w:abstractNumId w:val="32"/>
  </w:num>
  <w:num w:numId="19" w16cid:durableId="1068652601">
    <w:abstractNumId w:val="26"/>
  </w:num>
  <w:num w:numId="20" w16cid:durableId="1850557688">
    <w:abstractNumId w:val="11"/>
  </w:num>
  <w:num w:numId="21" w16cid:durableId="847057632">
    <w:abstractNumId w:val="22"/>
  </w:num>
  <w:num w:numId="22" w16cid:durableId="1574777567">
    <w:abstractNumId w:val="33"/>
  </w:num>
  <w:num w:numId="23" w16cid:durableId="302856831">
    <w:abstractNumId w:val="7"/>
  </w:num>
  <w:num w:numId="24" w16cid:durableId="1014961338">
    <w:abstractNumId w:val="41"/>
  </w:num>
  <w:num w:numId="25" w16cid:durableId="963000830">
    <w:abstractNumId w:val="40"/>
  </w:num>
  <w:num w:numId="26" w16cid:durableId="108164681">
    <w:abstractNumId w:val="16"/>
  </w:num>
  <w:num w:numId="27" w16cid:durableId="1087771138">
    <w:abstractNumId w:val="30"/>
  </w:num>
  <w:num w:numId="28" w16cid:durableId="1193498072">
    <w:abstractNumId w:val="8"/>
  </w:num>
  <w:num w:numId="29" w16cid:durableId="1033460923">
    <w:abstractNumId w:val="2"/>
  </w:num>
  <w:num w:numId="30" w16cid:durableId="1238134070">
    <w:abstractNumId w:val="36"/>
  </w:num>
  <w:num w:numId="31" w16cid:durableId="1322194830">
    <w:abstractNumId w:val="53"/>
  </w:num>
  <w:num w:numId="32" w16cid:durableId="703483432">
    <w:abstractNumId w:val="19"/>
  </w:num>
  <w:num w:numId="33" w16cid:durableId="1494570541">
    <w:abstractNumId w:val="24"/>
  </w:num>
  <w:num w:numId="34" w16cid:durableId="1679119186">
    <w:abstractNumId w:val="49"/>
  </w:num>
  <w:num w:numId="35" w16cid:durableId="2096898500">
    <w:abstractNumId w:val="6"/>
  </w:num>
  <w:num w:numId="36" w16cid:durableId="1867937058">
    <w:abstractNumId w:val="39"/>
  </w:num>
  <w:num w:numId="37" w16cid:durableId="668606109">
    <w:abstractNumId w:val="45"/>
  </w:num>
  <w:num w:numId="38" w16cid:durableId="1272593966">
    <w:abstractNumId w:val="52"/>
  </w:num>
  <w:num w:numId="39" w16cid:durableId="455758123">
    <w:abstractNumId w:val="28"/>
  </w:num>
  <w:num w:numId="40" w16cid:durableId="1656836675">
    <w:abstractNumId w:val="15"/>
  </w:num>
  <w:num w:numId="41" w16cid:durableId="296227601">
    <w:abstractNumId w:val="54"/>
  </w:num>
  <w:num w:numId="42" w16cid:durableId="1310791490">
    <w:abstractNumId w:val="10"/>
  </w:num>
  <w:num w:numId="43" w16cid:durableId="1823543152">
    <w:abstractNumId w:val="4"/>
  </w:num>
  <w:num w:numId="44" w16cid:durableId="1194806436">
    <w:abstractNumId w:val="13"/>
  </w:num>
  <w:num w:numId="45" w16cid:durableId="707489397">
    <w:abstractNumId w:val="51"/>
  </w:num>
  <w:num w:numId="46" w16cid:durableId="280452923">
    <w:abstractNumId w:val="34"/>
  </w:num>
  <w:num w:numId="47" w16cid:durableId="517164094">
    <w:abstractNumId w:val="1"/>
  </w:num>
  <w:num w:numId="48" w16cid:durableId="203953093">
    <w:abstractNumId w:val="25"/>
  </w:num>
  <w:num w:numId="49" w16cid:durableId="1746951325">
    <w:abstractNumId w:val="37"/>
  </w:num>
  <w:num w:numId="50" w16cid:durableId="193467043">
    <w:abstractNumId w:val="56"/>
  </w:num>
  <w:num w:numId="51" w16cid:durableId="1011684053">
    <w:abstractNumId w:val="23"/>
  </w:num>
  <w:num w:numId="52" w16cid:durableId="935092101">
    <w:abstractNumId w:val="46"/>
  </w:num>
  <w:num w:numId="53" w16cid:durableId="1313674251">
    <w:abstractNumId w:val="43"/>
  </w:num>
  <w:num w:numId="54" w16cid:durableId="1976401493">
    <w:abstractNumId w:val="0"/>
  </w:num>
  <w:num w:numId="55" w16cid:durableId="388308215">
    <w:abstractNumId w:val="55"/>
  </w:num>
  <w:num w:numId="56" w16cid:durableId="1294361407">
    <w:abstractNumId w:val="60"/>
  </w:num>
  <w:num w:numId="57" w16cid:durableId="2049253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68165191">
    <w:abstractNumId w:val="42"/>
  </w:num>
  <w:num w:numId="59" w16cid:durableId="216818132">
    <w:abstractNumId w:val="44"/>
  </w:num>
  <w:num w:numId="60" w16cid:durableId="1620181250">
    <w:abstractNumId w:val="3"/>
  </w:num>
  <w:num w:numId="61" w16cid:durableId="594288753">
    <w:abstractNumId w:val="48"/>
  </w:num>
  <w:num w:numId="62" w16cid:durableId="563756187">
    <w:abstractNumId w:val="58"/>
  </w:num>
  <w:num w:numId="63" w16cid:durableId="175153706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510329">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16"/>
    <w:rsid w:val="0000147F"/>
    <w:rsid w:val="00001BA9"/>
    <w:rsid w:val="000030B4"/>
    <w:rsid w:val="00013FAA"/>
    <w:rsid w:val="00025771"/>
    <w:rsid w:val="00033612"/>
    <w:rsid w:val="000402AA"/>
    <w:rsid w:val="000477EA"/>
    <w:rsid w:val="00055F20"/>
    <w:rsid w:val="00061E6E"/>
    <w:rsid w:val="00093FCF"/>
    <w:rsid w:val="00095B83"/>
    <w:rsid w:val="000A7A65"/>
    <w:rsid w:val="000B310C"/>
    <w:rsid w:val="000C6F5F"/>
    <w:rsid w:val="000C70F7"/>
    <w:rsid w:val="000C71E0"/>
    <w:rsid w:val="000C72A5"/>
    <w:rsid w:val="000D7C49"/>
    <w:rsid w:val="000D7DFF"/>
    <w:rsid w:val="000E722C"/>
    <w:rsid w:val="000E7282"/>
    <w:rsid w:val="000F21B7"/>
    <w:rsid w:val="00102FFE"/>
    <w:rsid w:val="00107755"/>
    <w:rsid w:val="0011095C"/>
    <w:rsid w:val="00115FD7"/>
    <w:rsid w:val="00125F26"/>
    <w:rsid w:val="00137D16"/>
    <w:rsid w:val="0014613D"/>
    <w:rsid w:val="00172E4F"/>
    <w:rsid w:val="00172EC1"/>
    <w:rsid w:val="00180775"/>
    <w:rsid w:val="001A4454"/>
    <w:rsid w:val="001B7997"/>
    <w:rsid w:val="001F4FD3"/>
    <w:rsid w:val="00212435"/>
    <w:rsid w:val="0021379C"/>
    <w:rsid w:val="0022184F"/>
    <w:rsid w:val="00233187"/>
    <w:rsid w:val="00236EDB"/>
    <w:rsid w:val="00240F19"/>
    <w:rsid w:val="00241F29"/>
    <w:rsid w:val="0025049D"/>
    <w:rsid w:val="00262699"/>
    <w:rsid w:val="00267687"/>
    <w:rsid w:val="00285E1A"/>
    <w:rsid w:val="0029101C"/>
    <w:rsid w:val="002938CD"/>
    <w:rsid w:val="00294D12"/>
    <w:rsid w:val="00295139"/>
    <w:rsid w:val="00297569"/>
    <w:rsid w:val="002B1B6A"/>
    <w:rsid w:val="002D4889"/>
    <w:rsid w:val="00301735"/>
    <w:rsid w:val="0030573C"/>
    <w:rsid w:val="003101E1"/>
    <w:rsid w:val="003227F4"/>
    <w:rsid w:val="00323E79"/>
    <w:rsid w:val="003278F9"/>
    <w:rsid w:val="00343F83"/>
    <w:rsid w:val="003456D1"/>
    <w:rsid w:val="00363D90"/>
    <w:rsid w:val="00374063"/>
    <w:rsid w:val="00375722"/>
    <w:rsid w:val="003871D4"/>
    <w:rsid w:val="003904E8"/>
    <w:rsid w:val="003A4A37"/>
    <w:rsid w:val="003C1306"/>
    <w:rsid w:val="003C5D97"/>
    <w:rsid w:val="003C684F"/>
    <w:rsid w:val="003D2115"/>
    <w:rsid w:val="003D5A49"/>
    <w:rsid w:val="003E0D12"/>
    <w:rsid w:val="003E0F41"/>
    <w:rsid w:val="00407A06"/>
    <w:rsid w:val="004172B7"/>
    <w:rsid w:val="00422A3F"/>
    <w:rsid w:val="00433111"/>
    <w:rsid w:val="00434731"/>
    <w:rsid w:val="004376BA"/>
    <w:rsid w:val="004428CA"/>
    <w:rsid w:val="004571F8"/>
    <w:rsid w:val="004606D3"/>
    <w:rsid w:val="00461969"/>
    <w:rsid w:val="0048336E"/>
    <w:rsid w:val="004A04A6"/>
    <w:rsid w:val="004B0328"/>
    <w:rsid w:val="004C4AB3"/>
    <w:rsid w:val="004D1727"/>
    <w:rsid w:val="004E4DDF"/>
    <w:rsid w:val="004F264B"/>
    <w:rsid w:val="005019C3"/>
    <w:rsid w:val="00510030"/>
    <w:rsid w:val="00521E5A"/>
    <w:rsid w:val="00542159"/>
    <w:rsid w:val="00553103"/>
    <w:rsid w:val="00553670"/>
    <w:rsid w:val="005562B3"/>
    <w:rsid w:val="00562F98"/>
    <w:rsid w:val="00563394"/>
    <w:rsid w:val="0057330D"/>
    <w:rsid w:val="00584841"/>
    <w:rsid w:val="0059165B"/>
    <w:rsid w:val="005A0A2C"/>
    <w:rsid w:val="005D3264"/>
    <w:rsid w:val="005E03D2"/>
    <w:rsid w:val="005E4D25"/>
    <w:rsid w:val="005E5B77"/>
    <w:rsid w:val="00601A1D"/>
    <w:rsid w:val="00612D18"/>
    <w:rsid w:val="00624326"/>
    <w:rsid w:val="0063173D"/>
    <w:rsid w:val="00635D66"/>
    <w:rsid w:val="00636F05"/>
    <w:rsid w:val="006371F2"/>
    <w:rsid w:val="00655431"/>
    <w:rsid w:val="0066555D"/>
    <w:rsid w:val="0066762F"/>
    <w:rsid w:val="00685B84"/>
    <w:rsid w:val="006A0A49"/>
    <w:rsid w:val="006B7680"/>
    <w:rsid w:val="006D7A32"/>
    <w:rsid w:val="00702671"/>
    <w:rsid w:val="0071389C"/>
    <w:rsid w:val="00714027"/>
    <w:rsid w:val="0071438D"/>
    <w:rsid w:val="0071652E"/>
    <w:rsid w:val="00726A72"/>
    <w:rsid w:val="0073370C"/>
    <w:rsid w:val="007432C5"/>
    <w:rsid w:val="007433EF"/>
    <w:rsid w:val="00761E8E"/>
    <w:rsid w:val="007641BE"/>
    <w:rsid w:val="007853FA"/>
    <w:rsid w:val="007877C3"/>
    <w:rsid w:val="00794B65"/>
    <w:rsid w:val="007959F0"/>
    <w:rsid w:val="007B0DC6"/>
    <w:rsid w:val="007C2ED4"/>
    <w:rsid w:val="007C4036"/>
    <w:rsid w:val="007D23AE"/>
    <w:rsid w:val="007F3C33"/>
    <w:rsid w:val="007F4318"/>
    <w:rsid w:val="00802D34"/>
    <w:rsid w:val="00810677"/>
    <w:rsid w:val="00821297"/>
    <w:rsid w:val="00826205"/>
    <w:rsid w:val="008366BD"/>
    <w:rsid w:val="00846C48"/>
    <w:rsid w:val="0085494E"/>
    <w:rsid w:val="008551F5"/>
    <w:rsid w:val="00866C7A"/>
    <w:rsid w:val="00872683"/>
    <w:rsid w:val="008746AC"/>
    <w:rsid w:val="00880C47"/>
    <w:rsid w:val="008930E6"/>
    <w:rsid w:val="008B7442"/>
    <w:rsid w:val="008D4AB1"/>
    <w:rsid w:val="008D6DB9"/>
    <w:rsid w:val="008E71D4"/>
    <w:rsid w:val="008F62BB"/>
    <w:rsid w:val="00902CA9"/>
    <w:rsid w:val="00907BD4"/>
    <w:rsid w:val="009152CC"/>
    <w:rsid w:val="00925115"/>
    <w:rsid w:val="00930FC1"/>
    <w:rsid w:val="00931520"/>
    <w:rsid w:val="00941674"/>
    <w:rsid w:val="00944973"/>
    <w:rsid w:val="009553C7"/>
    <w:rsid w:val="009573AE"/>
    <w:rsid w:val="0098073A"/>
    <w:rsid w:val="009C4134"/>
    <w:rsid w:val="009D1313"/>
    <w:rsid w:val="009D5212"/>
    <w:rsid w:val="009F2825"/>
    <w:rsid w:val="009F4863"/>
    <w:rsid w:val="009F597C"/>
    <w:rsid w:val="009F6E6B"/>
    <w:rsid w:val="00A31C12"/>
    <w:rsid w:val="00A340B7"/>
    <w:rsid w:val="00A556E8"/>
    <w:rsid w:val="00A62BFF"/>
    <w:rsid w:val="00A73B98"/>
    <w:rsid w:val="00A87C30"/>
    <w:rsid w:val="00A95D8A"/>
    <w:rsid w:val="00AB6B49"/>
    <w:rsid w:val="00AD0390"/>
    <w:rsid w:val="00AD4B1B"/>
    <w:rsid w:val="00AE0F78"/>
    <w:rsid w:val="00AE20BC"/>
    <w:rsid w:val="00AE32EF"/>
    <w:rsid w:val="00AE3A6C"/>
    <w:rsid w:val="00B14219"/>
    <w:rsid w:val="00B14AFD"/>
    <w:rsid w:val="00B30EC1"/>
    <w:rsid w:val="00B3500F"/>
    <w:rsid w:val="00B55A87"/>
    <w:rsid w:val="00B65FB5"/>
    <w:rsid w:val="00B749BF"/>
    <w:rsid w:val="00B82375"/>
    <w:rsid w:val="00B8328C"/>
    <w:rsid w:val="00B93B03"/>
    <w:rsid w:val="00BA570F"/>
    <w:rsid w:val="00BC0524"/>
    <w:rsid w:val="00BC10FD"/>
    <w:rsid w:val="00BC772B"/>
    <w:rsid w:val="00BD16C2"/>
    <w:rsid w:val="00BE1697"/>
    <w:rsid w:val="00C02966"/>
    <w:rsid w:val="00C0699E"/>
    <w:rsid w:val="00C26D94"/>
    <w:rsid w:val="00C31DA2"/>
    <w:rsid w:val="00C361D1"/>
    <w:rsid w:val="00C53C71"/>
    <w:rsid w:val="00C60B02"/>
    <w:rsid w:val="00C87D4A"/>
    <w:rsid w:val="00C94B49"/>
    <w:rsid w:val="00CB504B"/>
    <w:rsid w:val="00CB5056"/>
    <w:rsid w:val="00CD5E8A"/>
    <w:rsid w:val="00CE5148"/>
    <w:rsid w:val="00CE6D71"/>
    <w:rsid w:val="00CF09A7"/>
    <w:rsid w:val="00CF4065"/>
    <w:rsid w:val="00D00517"/>
    <w:rsid w:val="00D035A6"/>
    <w:rsid w:val="00D10445"/>
    <w:rsid w:val="00D20F77"/>
    <w:rsid w:val="00D3457C"/>
    <w:rsid w:val="00D35ADF"/>
    <w:rsid w:val="00D37AA4"/>
    <w:rsid w:val="00D66CB0"/>
    <w:rsid w:val="00D71089"/>
    <w:rsid w:val="00D76F8E"/>
    <w:rsid w:val="00D838D4"/>
    <w:rsid w:val="00D97F7C"/>
    <w:rsid w:val="00DC2B52"/>
    <w:rsid w:val="00DD19C6"/>
    <w:rsid w:val="00DE6EBB"/>
    <w:rsid w:val="00DF5EF3"/>
    <w:rsid w:val="00E174E4"/>
    <w:rsid w:val="00E2727D"/>
    <w:rsid w:val="00E33F26"/>
    <w:rsid w:val="00E36400"/>
    <w:rsid w:val="00E4020D"/>
    <w:rsid w:val="00E55779"/>
    <w:rsid w:val="00E97E7C"/>
    <w:rsid w:val="00EA1D03"/>
    <w:rsid w:val="00EA2D67"/>
    <w:rsid w:val="00EA56DE"/>
    <w:rsid w:val="00ED76F7"/>
    <w:rsid w:val="00EE0BF3"/>
    <w:rsid w:val="00F14E0E"/>
    <w:rsid w:val="00F31056"/>
    <w:rsid w:val="00F32B7B"/>
    <w:rsid w:val="00F605E6"/>
    <w:rsid w:val="00F708E7"/>
    <w:rsid w:val="00F85357"/>
    <w:rsid w:val="00F905A8"/>
    <w:rsid w:val="00FC2549"/>
    <w:rsid w:val="00FD1D56"/>
    <w:rsid w:val="00FE07E0"/>
    <w:rsid w:val="00FE12F7"/>
    <w:rsid w:val="00FE13E7"/>
    <w:rsid w:val="00FE158A"/>
    <w:rsid w:val="00FE1A89"/>
    <w:rsid w:val="00FF4201"/>
    <w:rsid w:val="00FF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2B9462"/>
  <w15:docId w15:val="{644A3A3D-0E0A-401A-90AB-7275A86A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2AA"/>
    <w:pPr>
      <w:spacing w:after="0" w:line="240" w:lineRule="auto"/>
    </w:pPr>
    <w:rPr>
      <w:rFonts w:ascii="Times New Roman" w:eastAsia="Times New Roman" w:hAnsi="Times New Roman" w:cs="Times New Roman"/>
      <w:szCs w:val="20"/>
    </w:rPr>
  </w:style>
  <w:style w:type="paragraph" w:styleId="Heading1">
    <w:name w:val="heading 1"/>
    <w:aliases w:val="Part,H1"/>
    <w:next w:val="Heading1para"/>
    <w:link w:val="Heading1Char"/>
    <w:qFormat/>
    <w:rsid w:val="00137D16"/>
    <w:pPr>
      <w:keepNext/>
      <w:spacing w:before="240" w:after="60" w:line="240" w:lineRule="auto"/>
      <w:outlineLvl w:val="0"/>
    </w:pPr>
    <w:rPr>
      <w:rFonts w:ascii="Times New Roman" w:eastAsia="Times New Roman" w:hAnsi="Times New Roman" w:cs="Times New Roman"/>
      <w:b/>
      <w:noProof/>
      <w:kern w:val="28"/>
      <w:sz w:val="24"/>
      <w:szCs w:val="20"/>
    </w:rPr>
  </w:style>
  <w:style w:type="paragraph" w:styleId="Heading2">
    <w:name w:val="heading 2"/>
    <w:aliases w:val="h2"/>
    <w:link w:val="Heading2Char"/>
    <w:qFormat/>
    <w:rsid w:val="00137D16"/>
    <w:pPr>
      <w:spacing w:before="120" w:after="60" w:line="240" w:lineRule="auto"/>
      <w:outlineLvl w:val="1"/>
    </w:pPr>
    <w:rPr>
      <w:rFonts w:ascii="Times New Roman" w:eastAsia="Times New Roman" w:hAnsi="Times New Roman" w:cs="Times New Roman"/>
      <w:noProof/>
      <w:szCs w:val="20"/>
    </w:rPr>
  </w:style>
  <w:style w:type="paragraph" w:styleId="Heading3">
    <w:name w:val="heading 3"/>
    <w:basedOn w:val="Normal"/>
    <w:link w:val="Heading3Char"/>
    <w:autoRedefine/>
    <w:qFormat/>
    <w:rsid w:val="00F14E0E"/>
    <w:pPr>
      <w:numPr>
        <w:numId w:val="8"/>
      </w:numPr>
      <w:spacing w:before="60" w:after="120"/>
      <w:outlineLvl w:val="2"/>
    </w:pPr>
    <w:rPr>
      <w:rFonts w:asciiTheme="minorHAnsi" w:eastAsiaTheme="minorHAnsi" w:hAnsiTheme="minorHAnsi" w:cs="Arial"/>
      <w:szCs w:val="22"/>
    </w:rPr>
  </w:style>
  <w:style w:type="paragraph" w:styleId="Heading4">
    <w:name w:val="heading 4"/>
    <w:basedOn w:val="Normal"/>
    <w:next w:val="Normal"/>
    <w:link w:val="Heading4Char"/>
    <w:uiPriority w:val="9"/>
    <w:unhideWhenUsed/>
    <w:qFormat/>
    <w:rsid w:val="00115FD7"/>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15FD7"/>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15FD7"/>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15FD7"/>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15FD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5FD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1 Char"/>
    <w:basedOn w:val="DefaultParagraphFont"/>
    <w:link w:val="Heading1"/>
    <w:rsid w:val="00137D16"/>
    <w:rPr>
      <w:rFonts w:ascii="Times New Roman" w:eastAsia="Times New Roman" w:hAnsi="Times New Roman" w:cs="Times New Roman"/>
      <w:b/>
      <w:noProof/>
      <w:kern w:val="28"/>
      <w:sz w:val="24"/>
      <w:szCs w:val="20"/>
    </w:rPr>
  </w:style>
  <w:style w:type="character" w:customStyle="1" w:styleId="Heading2Char">
    <w:name w:val="Heading 2 Char"/>
    <w:aliases w:val="h2 Char"/>
    <w:basedOn w:val="DefaultParagraphFont"/>
    <w:link w:val="Heading2"/>
    <w:rsid w:val="00137D16"/>
    <w:rPr>
      <w:rFonts w:ascii="Times New Roman" w:eastAsia="Times New Roman" w:hAnsi="Times New Roman" w:cs="Times New Roman"/>
      <w:noProof/>
      <w:szCs w:val="20"/>
    </w:rPr>
  </w:style>
  <w:style w:type="character" w:customStyle="1" w:styleId="Heading3Char">
    <w:name w:val="Heading 3 Char"/>
    <w:basedOn w:val="DefaultParagraphFont"/>
    <w:link w:val="Heading3"/>
    <w:rsid w:val="00F14E0E"/>
    <w:rPr>
      <w:rFonts w:cs="Arial"/>
    </w:rPr>
  </w:style>
  <w:style w:type="paragraph" w:customStyle="1" w:styleId="Heading1para">
    <w:name w:val="Heading 1 para"/>
    <w:rsid w:val="00137D16"/>
    <w:pPr>
      <w:spacing w:before="120" w:after="120" w:line="240" w:lineRule="auto"/>
      <w:ind w:left="720"/>
    </w:pPr>
    <w:rPr>
      <w:rFonts w:ascii="Times New Roman" w:eastAsia="Times New Roman" w:hAnsi="Times New Roman" w:cs="Times New Roman"/>
      <w:szCs w:val="20"/>
    </w:rPr>
  </w:style>
  <w:style w:type="character" w:styleId="Hyperlink">
    <w:name w:val="Hyperlink"/>
    <w:basedOn w:val="DefaultParagraphFont"/>
    <w:uiPriority w:val="99"/>
    <w:rsid w:val="00137D16"/>
    <w:rPr>
      <w:color w:val="0000FF"/>
      <w:u w:val="single"/>
    </w:rPr>
  </w:style>
  <w:style w:type="paragraph" w:customStyle="1" w:styleId="Heading2Para">
    <w:name w:val="Heading 2 Para"/>
    <w:basedOn w:val="Normal"/>
    <w:link w:val="Heading2ParaChar2"/>
    <w:rsid w:val="00137D16"/>
    <w:pPr>
      <w:spacing w:before="120"/>
      <w:ind w:left="1440" w:hanging="720"/>
    </w:pPr>
  </w:style>
  <w:style w:type="character" w:customStyle="1" w:styleId="Heading2ParaChar2">
    <w:name w:val="Heading 2 Para Char2"/>
    <w:basedOn w:val="DefaultParagraphFont"/>
    <w:link w:val="Heading2Para"/>
    <w:rsid w:val="00137D16"/>
    <w:rPr>
      <w:rFonts w:ascii="Times New Roman" w:eastAsia="Times New Roman" w:hAnsi="Times New Roman" w:cs="Times New Roman"/>
      <w:szCs w:val="20"/>
    </w:rPr>
  </w:style>
  <w:style w:type="paragraph" w:styleId="ListParagraph">
    <w:name w:val="List Paragraph"/>
    <w:basedOn w:val="Normal"/>
    <w:uiPriority w:val="34"/>
    <w:qFormat/>
    <w:rsid w:val="00137D16"/>
    <w:pPr>
      <w:ind w:left="720"/>
      <w:contextualSpacing/>
    </w:pPr>
  </w:style>
  <w:style w:type="paragraph" w:customStyle="1" w:styleId="Body2">
    <w:name w:val="Body 2"/>
    <w:basedOn w:val="Normal"/>
    <w:link w:val="Body2Char"/>
    <w:uiPriority w:val="99"/>
    <w:rsid w:val="00137D16"/>
    <w:pPr>
      <w:keepLines/>
      <w:spacing w:before="120" w:after="60"/>
      <w:ind w:left="1080"/>
    </w:pPr>
    <w:rPr>
      <w:kern w:val="28"/>
    </w:rPr>
  </w:style>
  <w:style w:type="character" w:customStyle="1" w:styleId="Body2Char">
    <w:name w:val="Body 2 Char"/>
    <w:link w:val="Body2"/>
    <w:uiPriority w:val="99"/>
    <w:locked/>
    <w:rsid w:val="00137D16"/>
    <w:rPr>
      <w:rFonts w:ascii="Times New Roman" w:eastAsia="Times New Roman" w:hAnsi="Times New Roman" w:cs="Times New Roman"/>
      <w:kern w:val="28"/>
      <w:szCs w:val="20"/>
    </w:rPr>
  </w:style>
  <w:style w:type="paragraph" w:styleId="NoSpacing">
    <w:name w:val="No Spacing"/>
    <w:uiPriority w:val="1"/>
    <w:qFormat/>
    <w:rsid w:val="000E722C"/>
    <w:pPr>
      <w:spacing w:after="0" w:line="240" w:lineRule="auto"/>
    </w:pPr>
    <w:rPr>
      <w:rFonts w:ascii="Times New Roman" w:eastAsia="Times New Roman" w:hAnsi="Times New Roman" w:cs="Times New Roman"/>
      <w:szCs w:val="20"/>
    </w:rPr>
  </w:style>
  <w:style w:type="paragraph" w:customStyle="1" w:styleId="HeadingNumbered01">
    <w:name w:val="Heading Numbered01"/>
    <w:basedOn w:val="Normal"/>
    <w:rsid w:val="00115FD7"/>
    <w:pPr>
      <w:numPr>
        <w:numId w:val="5"/>
      </w:numPr>
    </w:pPr>
  </w:style>
  <w:style w:type="paragraph" w:customStyle="1" w:styleId="HeadingNumbered02">
    <w:name w:val="Heading Numbered02"/>
    <w:basedOn w:val="Normal"/>
    <w:rsid w:val="00115FD7"/>
    <w:pPr>
      <w:numPr>
        <w:ilvl w:val="1"/>
        <w:numId w:val="5"/>
      </w:numPr>
    </w:pPr>
  </w:style>
  <w:style w:type="paragraph" w:customStyle="1" w:styleId="HeadingNumbered03">
    <w:name w:val="Heading Numbered03"/>
    <w:basedOn w:val="Normal"/>
    <w:rsid w:val="00115FD7"/>
    <w:pPr>
      <w:numPr>
        <w:ilvl w:val="2"/>
        <w:numId w:val="5"/>
      </w:numPr>
    </w:pPr>
  </w:style>
  <w:style w:type="paragraph" w:customStyle="1" w:styleId="HeadingNumbered04">
    <w:name w:val="Heading Numbered04"/>
    <w:basedOn w:val="Normal"/>
    <w:rsid w:val="00115FD7"/>
    <w:pPr>
      <w:numPr>
        <w:ilvl w:val="3"/>
        <w:numId w:val="5"/>
      </w:numPr>
    </w:pPr>
  </w:style>
  <w:style w:type="paragraph" w:styleId="Title">
    <w:name w:val="Title"/>
    <w:basedOn w:val="Normal"/>
    <w:next w:val="Normal"/>
    <w:link w:val="TitleChar"/>
    <w:qFormat/>
    <w:rsid w:val="00115F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15FD7"/>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115FD7"/>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rsid w:val="00115FD7"/>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rsid w:val="00115FD7"/>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rsid w:val="00115FD7"/>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rsid w:val="00115F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5FD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E272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727D"/>
    <w:pPr>
      <w:tabs>
        <w:tab w:val="center" w:pos="4320"/>
        <w:tab w:val="right" w:pos="8640"/>
      </w:tabs>
    </w:pPr>
  </w:style>
  <w:style w:type="character" w:customStyle="1" w:styleId="HeaderChar">
    <w:name w:val="Header Char"/>
    <w:basedOn w:val="DefaultParagraphFont"/>
    <w:link w:val="Header"/>
    <w:rsid w:val="00E2727D"/>
    <w:rPr>
      <w:rFonts w:ascii="Times New Roman" w:eastAsia="Times New Roman" w:hAnsi="Times New Roman" w:cs="Times New Roman"/>
      <w:szCs w:val="20"/>
    </w:rPr>
  </w:style>
  <w:style w:type="paragraph" w:customStyle="1" w:styleId="Normal-Left">
    <w:name w:val="Normal-Left"/>
    <w:basedOn w:val="Normal"/>
    <w:rsid w:val="00E2727D"/>
    <w:pPr>
      <w:spacing w:after="120"/>
    </w:pPr>
  </w:style>
  <w:style w:type="paragraph" w:styleId="BodyText">
    <w:name w:val="Body Text"/>
    <w:basedOn w:val="Normal"/>
    <w:link w:val="BodyTextChar"/>
    <w:rsid w:val="00E2727D"/>
    <w:pPr>
      <w:spacing w:after="120"/>
    </w:pPr>
  </w:style>
  <w:style w:type="character" w:customStyle="1" w:styleId="BodyTextChar">
    <w:name w:val="Body Text Char"/>
    <w:basedOn w:val="DefaultParagraphFont"/>
    <w:link w:val="BodyText"/>
    <w:rsid w:val="00E2727D"/>
    <w:rPr>
      <w:rFonts w:ascii="Times New Roman" w:eastAsia="Times New Roman" w:hAnsi="Times New Roman" w:cs="Times New Roman"/>
      <w:szCs w:val="20"/>
    </w:rPr>
  </w:style>
  <w:style w:type="paragraph" w:styleId="BlockText">
    <w:name w:val="Block Text"/>
    <w:basedOn w:val="Normal"/>
    <w:rsid w:val="00E2727D"/>
    <w:pPr>
      <w:ind w:left="1080" w:right="1350"/>
    </w:pPr>
    <w:rPr>
      <w:i/>
      <w:color w:val="FF0000"/>
      <w:sz w:val="24"/>
    </w:rPr>
  </w:style>
  <w:style w:type="character" w:styleId="CommentReference">
    <w:name w:val="annotation reference"/>
    <w:basedOn w:val="DefaultParagraphFont"/>
    <w:uiPriority w:val="99"/>
    <w:semiHidden/>
    <w:unhideWhenUsed/>
    <w:rsid w:val="00C60B02"/>
    <w:rPr>
      <w:sz w:val="16"/>
      <w:szCs w:val="16"/>
    </w:rPr>
  </w:style>
  <w:style w:type="paragraph" w:styleId="CommentText">
    <w:name w:val="annotation text"/>
    <w:basedOn w:val="Normal"/>
    <w:link w:val="CommentTextChar"/>
    <w:uiPriority w:val="99"/>
    <w:unhideWhenUsed/>
    <w:rsid w:val="00C60B02"/>
    <w:rPr>
      <w:sz w:val="20"/>
    </w:rPr>
  </w:style>
  <w:style w:type="character" w:customStyle="1" w:styleId="CommentTextChar">
    <w:name w:val="Comment Text Char"/>
    <w:basedOn w:val="DefaultParagraphFont"/>
    <w:link w:val="CommentText"/>
    <w:uiPriority w:val="99"/>
    <w:rsid w:val="00C60B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0B02"/>
    <w:rPr>
      <w:b/>
      <w:bCs/>
    </w:rPr>
  </w:style>
  <w:style w:type="character" w:customStyle="1" w:styleId="CommentSubjectChar">
    <w:name w:val="Comment Subject Char"/>
    <w:basedOn w:val="CommentTextChar"/>
    <w:link w:val="CommentSubject"/>
    <w:uiPriority w:val="99"/>
    <w:semiHidden/>
    <w:rsid w:val="00C60B0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0B02"/>
    <w:rPr>
      <w:rFonts w:ascii="Tahoma" w:hAnsi="Tahoma" w:cs="Tahoma"/>
      <w:sz w:val="16"/>
      <w:szCs w:val="16"/>
    </w:rPr>
  </w:style>
  <w:style w:type="character" w:customStyle="1" w:styleId="BalloonTextChar">
    <w:name w:val="Balloon Text Char"/>
    <w:basedOn w:val="DefaultParagraphFont"/>
    <w:link w:val="BalloonText"/>
    <w:uiPriority w:val="99"/>
    <w:semiHidden/>
    <w:rsid w:val="00C60B02"/>
    <w:rPr>
      <w:rFonts w:ascii="Tahoma" w:eastAsia="Times New Roman" w:hAnsi="Tahoma" w:cs="Tahoma"/>
      <w:sz w:val="16"/>
      <w:szCs w:val="16"/>
    </w:rPr>
  </w:style>
  <w:style w:type="paragraph" w:customStyle="1" w:styleId="Heading2para0">
    <w:name w:val="Heading 2 para"/>
    <w:rsid w:val="00212435"/>
    <w:pPr>
      <w:spacing w:after="0" w:line="240" w:lineRule="auto"/>
      <w:ind w:left="1440"/>
    </w:pPr>
    <w:rPr>
      <w:rFonts w:ascii="Times New Roman" w:eastAsia="Times New Roman" w:hAnsi="Times New Roman" w:cs="Times New Roman"/>
      <w:noProof/>
      <w:szCs w:val="20"/>
    </w:rPr>
  </w:style>
  <w:style w:type="paragraph" w:styleId="Revision">
    <w:name w:val="Revision"/>
    <w:hidden/>
    <w:uiPriority w:val="99"/>
    <w:semiHidden/>
    <w:rsid w:val="007433EF"/>
    <w:pPr>
      <w:spacing w:after="0" w:line="240" w:lineRule="auto"/>
    </w:pPr>
    <w:rPr>
      <w:rFonts w:ascii="Times New Roman" w:eastAsia="Times New Roman" w:hAnsi="Times New Roman" w:cs="Times New Roman"/>
      <w:szCs w:val="20"/>
    </w:rPr>
  </w:style>
  <w:style w:type="paragraph" w:styleId="NormalIndent">
    <w:name w:val="Normal Indent"/>
    <w:basedOn w:val="Normal"/>
    <w:link w:val="NormalIndentChar"/>
    <w:rsid w:val="00B30EC1"/>
    <w:pPr>
      <w:spacing w:after="200" w:line="276" w:lineRule="auto"/>
      <w:ind w:left="1440"/>
    </w:pPr>
    <w:rPr>
      <w:rFonts w:asciiTheme="minorHAnsi" w:eastAsiaTheme="minorHAnsi" w:hAnsiTheme="minorHAnsi" w:cstheme="minorBidi"/>
      <w:szCs w:val="22"/>
    </w:rPr>
  </w:style>
  <w:style w:type="character" w:customStyle="1" w:styleId="NormalIndentChar">
    <w:name w:val="Normal Indent Char"/>
    <w:basedOn w:val="DefaultParagraphFont"/>
    <w:link w:val="NormalIndent"/>
    <w:rsid w:val="00B30EC1"/>
  </w:style>
  <w:style w:type="character" w:customStyle="1" w:styleId="tgc">
    <w:name w:val="_tgc"/>
    <w:basedOn w:val="DefaultParagraphFont"/>
    <w:rsid w:val="00180775"/>
  </w:style>
  <w:style w:type="paragraph" w:styleId="Footer">
    <w:name w:val="footer"/>
    <w:basedOn w:val="Normal"/>
    <w:link w:val="FooterChar"/>
    <w:uiPriority w:val="99"/>
    <w:unhideWhenUsed/>
    <w:rsid w:val="00061E6E"/>
    <w:pPr>
      <w:tabs>
        <w:tab w:val="center" w:pos="4680"/>
        <w:tab w:val="right" w:pos="9360"/>
      </w:tabs>
    </w:pPr>
  </w:style>
  <w:style w:type="character" w:customStyle="1" w:styleId="FooterChar">
    <w:name w:val="Footer Char"/>
    <w:basedOn w:val="DefaultParagraphFont"/>
    <w:link w:val="Footer"/>
    <w:uiPriority w:val="99"/>
    <w:rsid w:val="00061E6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4023">
      <w:bodyDiv w:val="1"/>
      <w:marLeft w:val="0"/>
      <w:marRight w:val="0"/>
      <w:marTop w:val="0"/>
      <w:marBottom w:val="0"/>
      <w:divBdr>
        <w:top w:val="none" w:sz="0" w:space="0" w:color="auto"/>
        <w:left w:val="none" w:sz="0" w:space="0" w:color="auto"/>
        <w:bottom w:val="none" w:sz="0" w:space="0" w:color="auto"/>
        <w:right w:val="none" w:sz="0" w:space="0" w:color="auto"/>
      </w:divBdr>
    </w:div>
    <w:div w:id="9601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C@watech.w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C@watech.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WaTech.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0" ma:contentTypeDescription="Create a new document." ma:contentTypeScope="" ma:versionID="83aaed5ddc0cff7ddbc7a5edece5484a">
  <xsd:schema xmlns:xsd="http://www.w3.org/2001/XMLSchema" xmlns:xs="http://www.w3.org/2001/XMLSchema" xmlns:p="http://schemas.microsoft.com/office/2006/metadata/properties" xmlns:ns1="http://schemas.microsoft.com/sharepoint/v3" xmlns:ns3="7d544bdc-a7fa-4516-973e-3ad2926cbdd1" targetNamespace="http://schemas.microsoft.com/office/2006/metadata/properties" ma:root="true" ma:fieldsID="bf459353d702f4b7d3c2914ca91d4482" ns1:_="" ns3:_="">
    <xsd:import namespace="http://schemas.microsoft.com/sharepoint/v3"/>
    <xsd:import namespace="7d544bdc-a7fa-4516-973e-3ad2926cbd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5C9EB69-AEAC-496C-A9DE-4C53802F4B25}">
  <ds:schemaRefs>
    <ds:schemaRef ds:uri="http://schemas.microsoft.com/sharepoint/v3/contenttype/forms"/>
  </ds:schemaRefs>
</ds:datastoreItem>
</file>

<file path=customXml/itemProps2.xml><?xml version="1.0" encoding="utf-8"?>
<ds:datastoreItem xmlns:ds="http://schemas.openxmlformats.org/officeDocument/2006/customXml" ds:itemID="{D1FA7F5C-8E97-48CE-8C17-CA6824617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A2CD7-451E-48AB-8024-7946615D00D5}">
  <ds:schemaRefs>
    <ds:schemaRef ds:uri="http://schemas.openxmlformats.org/officeDocument/2006/bibliography"/>
  </ds:schemaRefs>
</ds:datastoreItem>
</file>

<file path=customXml/itemProps4.xml><?xml version="1.0" encoding="utf-8"?>
<ds:datastoreItem xmlns:ds="http://schemas.openxmlformats.org/officeDocument/2006/customXml" ds:itemID="{ABE0D969-378A-4820-BA3E-BC3330213BE8}">
  <ds:schemaRefs>
    <ds:schemaRef ds:uri="http://purl.org/dc/elements/1.1/"/>
    <ds:schemaRef ds:uri="http://schemas.microsoft.com/sharepoint/v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d544bdc-a7fa-4516-973e-3ad2926cbdd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3394</Words>
  <Characters>20809</Characters>
  <Application>Microsoft Office Word</Application>
  <DocSecurity>0</DocSecurity>
  <Lines>1891</Lines>
  <Paragraphs>456</Paragraphs>
  <ScaleCrop>false</ScaleCrop>
  <HeadingPairs>
    <vt:vector size="2" baseType="variant">
      <vt:variant>
        <vt:lpstr>Title</vt:lpstr>
      </vt:variant>
      <vt:variant>
        <vt:i4>1</vt:i4>
      </vt:variant>
    </vt:vector>
  </HeadingPairs>
  <TitlesOfParts>
    <vt:vector size="1" baseType="lpstr">
      <vt:lpstr/>
    </vt:vector>
  </TitlesOfParts>
  <Company>Fuse Networks</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O'Keeffe, Rich (WaTech)</dc:creator>
  <cp:lastModifiedBy>Steele, Susan (WaTech)</cp:lastModifiedBy>
  <cp:revision>2</cp:revision>
  <cp:lastPrinted>2017-12-22T18:04:00Z</cp:lastPrinted>
  <dcterms:created xsi:type="dcterms:W3CDTF">2024-12-11T18:59:00Z</dcterms:created>
  <dcterms:modified xsi:type="dcterms:W3CDTF">2024-12-11T18:59:00Z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ies>
</file>