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7F9CB4A9" w14:textId="5B477E37" w:rsidR="00B82DA4" w:rsidRPr="009077E8" w:rsidRDefault="00B82DA4" w:rsidP="00B82DA4">
      <w:pPr>
        <w:pBdr>
          <w:bottom w:val="single" w:sz="4" w:space="1" w:color="auto"/>
        </w:pBdr>
        <w:spacing w:line="360" w:lineRule="auto"/>
        <w:ind w:right="72"/>
        <w:jc w:val="center"/>
        <w:rPr>
          <w:b/>
          <w:bCs/>
          <w:sz w:val="32"/>
          <w:szCs w:val="32"/>
        </w:rPr>
      </w:pPr>
      <w:r>
        <w:rPr>
          <w:b/>
          <w:bCs/>
          <w:sz w:val="32"/>
          <w:szCs w:val="32"/>
        </w:rPr>
        <w:t>25-RFQ-</w:t>
      </w:r>
      <w:r w:rsidR="00BC5EAC">
        <w:rPr>
          <w:b/>
          <w:bCs/>
          <w:sz w:val="32"/>
          <w:szCs w:val="32"/>
        </w:rPr>
        <w:t>02</w:t>
      </w:r>
      <w:r w:rsidR="006669DE">
        <w:rPr>
          <w:b/>
          <w:bCs/>
          <w:sz w:val="32"/>
          <w:szCs w:val="32"/>
        </w:rPr>
        <w:t>8</w:t>
      </w:r>
    </w:p>
    <w:p w14:paraId="39CBA324" w14:textId="0AC506E0" w:rsidR="00B82DA4" w:rsidRDefault="00B82DA4" w:rsidP="00B82DA4">
      <w:pPr>
        <w:pBdr>
          <w:bottom w:val="single" w:sz="4" w:space="1" w:color="auto"/>
        </w:pBdr>
        <w:spacing w:line="360" w:lineRule="auto"/>
        <w:ind w:right="72"/>
        <w:jc w:val="center"/>
        <w:rPr>
          <w:b/>
          <w:bCs/>
        </w:rPr>
      </w:pPr>
      <w:r>
        <w:rPr>
          <w:b/>
          <w:bCs/>
        </w:rPr>
        <w:t xml:space="preserve">Released: </w:t>
      </w:r>
      <w:r w:rsidR="00D86F5B">
        <w:rPr>
          <w:b/>
          <w:bCs/>
        </w:rPr>
        <w:t xml:space="preserve">March </w:t>
      </w:r>
      <w:r w:rsidR="00FB46ED">
        <w:rPr>
          <w:b/>
          <w:bCs/>
        </w:rPr>
        <w:t>26</w:t>
      </w:r>
      <w:r w:rsidR="00D86F5B">
        <w:rPr>
          <w:b/>
          <w:bCs/>
        </w:rPr>
        <w:t>, 2025</w:t>
      </w:r>
    </w:p>
    <w:p w14:paraId="543E7DB5" w14:textId="5EC6B936" w:rsidR="00B82DA4" w:rsidRDefault="00B82DA4" w:rsidP="00B82DA4">
      <w:pPr>
        <w:pBdr>
          <w:bottom w:val="single" w:sz="4" w:space="1" w:color="auto"/>
        </w:pBdr>
        <w:spacing w:line="360" w:lineRule="auto"/>
        <w:ind w:right="72"/>
        <w:jc w:val="center"/>
        <w:rPr>
          <w:b/>
          <w:bCs/>
        </w:rPr>
      </w:pPr>
      <w:r>
        <w:rPr>
          <w:b/>
          <w:bCs/>
        </w:rPr>
        <w:t xml:space="preserve">Responses Due: </w:t>
      </w:r>
      <w:r w:rsidR="00D86F5B">
        <w:rPr>
          <w:b/>
          <w:bCs/>
        </w:rPr>
        <w:t xml:space="preserve">April </w:t>
      </w:r>
      <w:r w:rsidR="00FB46ED">
        <w:rPr>
          <w:b/>
          <w:bCs/>
        </w:rPr>
        <w:t>16</w:t>
      </w:r>
      <w:r w:rsidR="00BC5EAC">
        <w:rPr>
          <w:b/>
          <w:bCs/>
        </w:rPr>
        <w:t xml:space="preserve">, </w:t>
      </w:r>
      <w:r>
        <w:rPr>
          <w:b/>
          <w:bCs/>
        </w:rPr>
        <w:t>2025</w:t>
      </w:r>
    </w:p>
    <w:p w14:paraId="4B61CF7A" w14:textId="77777777" w:rsidR="00AE4C71" w:rsidRDefault="00AE4C71" w:rsidP="003E57E7">
      <w:pPr>
        <w:spacing w:line="360" w:lineRule="auto"/>
        <w:rPr>
          <w:b/>
          <w:bCs/>
        </w:rPr>
      </w:pPr>
    </w:p>
    <w:p w14:paraId="026159BC" w14:textId="5734B5C2"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w:t>
      </w:r>
      <w:r w:rsidR="00D84088">
        <w:rPr>
          <w:b/>
          <w:bCs/>
        </w:rPr>
        <w:t>Network Services Agreement</w:t>
      </w:r>
      <w:r w:rsidRPr="00036025">
        <w:rPr>
          <w:b/>
          <w:bCs/>
        </w:rPr>
        <w:t xml:space="preserve">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in order to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r w:rsidR="00D84088">
        <w:rPr>
          <w:b/>
          <w:bCs/>
        </w:rPr>
        <w:t>NSA</w:t>
      </w:r>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23B73C0D"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w:t>
      </w:r>
      <w:r w:rsidR="00D84088">
        <w:rPr>
          <w:b/>
          <w:bCs/>
        </w:rPr>
        <w:t>NSA</w:t>
      </w:r>
      <w:r w:rsidR="00295C74" w:rsidRPr="00036025">
        <w:rPr>
          <w:b/>
          <w:bCs/>
        </w:rPr>
        <w:t xml:space="preserve">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C5EAC" w:rsidRDefault="00680247" w:rsidP="00680247">
      <w:pPr>
        <w:pStyle w:val="ListParagraph"/>
        <w:spacing w:before="240" w:after="60" w:line="360" w:lineRule="auto"/>
        <w:rPr>
          <w:b/>
          <w:bCs/>
        </w:rPr>
      </w:pPr>
      <w:r w:rsidRPr="00BC5EAC">
        <w:rPr>
          <w:b/>
          <w:bCs/>
          <w:u w:val="single"/>
        </w:rPr>
        <w:t>Backup RFQ Coordinator</w:t>
      </w:r>
      <w:r w:rsidRPr="00BC5EAC">
        <w:rPr>
          <w:b/>
          <w:bCs/>
        </w:rPr>
        <w:br/>
        <w:t>Contact Name:</w:t>
      </w:r>
      <w:r w:rsidRPr="00BC5EAC">
        <w:rPr>
          <w:b/>
          <w:bCs/>
        </w:rPr>
        <w:tab/>
      </w:r>
      <w:r w:rsidR="00AA1133" w:rsidRPr="00BC5EAC">
        <w:rPr>
          <w:b/>
          <w:bCs/>
        </w:rPr>
        <w:t>Jessica Smith</w:t>
      </w:r>
    </w:p>
    <w:p w14:paraId="7AE58E57" w14:textId="1BB14212" w:rsidR="00680247" w:rsidRPr="00BC5EAC" w:rsidRDefault="00680247" w:rsidP="00680247">
      <w:pPr>
        <w:pStyle w:val="ListParagraph"/>
        <w:spacing w:before="240" w:after="60" w:line="360" w:lineRule="auto"/>
        <w:rPr>
          <w:b/>
          <w:bCs/>
        </w:rPr>
      </w:pPr>
      <w:r w:rsidRPr="00BC5EAC">
        <w:rPr>
          <w:b/>
          <w:bCs/>
        </w:rPr>
        <w:t xml:space="preserve">E-mail Address: </w:t>
      </w:r>
      <w:r w:rsidRPr="00BC5EAC">
        <w:rPr>
          <w:b/>
          <w:bCs/>
        </w:rPr>
        <w:tab/>
      </w:r>
      <w:hyperlink r:id="rId12" w:history="1">
        <w:r w:rsidR="00AA1133" w:rsidRPr="00BC5EAC">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C5EAC">
        <w:rPr>
          <w:b/>
          <w:bCs/>
        </w:rPr>
        <w:t xml:space="preserve">Phone: </w:t>
      </w:r>
      <w:r w:rsidRPr="00BC5EAC">
        <w:rPr>
          <w:b/>
          <w:bCs/>
        </w:rPr>
        <w:tab/>
      </w:r>
      <w:r w:rsidRPr="00BC5EAC">
        <w:rPr>
          <w:b/>
          <w:bCs/>
        </w:rPr>
        <w:tab/>
        <w:t>360.407.</w:t>
      </w:r>
      <w:r w:rsidR="007B011A" w:rsidRPr="00BC5EAC">
        <w:rPr>
          <w:b/>
          <w:bCs/>
        </w:rPr>
        <w:t>8</w:t>
      </w:r>
      <w:r w:rsidR="00AA1133" w:rsidRPr="00BC5EAC">
        <w:rPr>
          <w:b/>
          <w:bCs/>
        </w:rPr>
        <w:t>655</w:t>
      </w:r>
    </w:p>
    <w:p w14:paraId="0676144A" w14:textId="77777777" w:rsidR="00D86F5B" w:rsidRDefault="00D86F5B" w:rsidP="00680247">
      <w:pPr>
        <w:pStyle w:val="ListParagraph"/>
        <w:spacing w:before="240" w:after="60" w:line="360" w:lineRule="auto"/>
        <w:rPr>
          <w:b/>
          <w:bCs/>
        </w:rPr>
      </w:pPr>
    </w:p>
    <w:p w14:paraId="25D5D55D" w14:textId="12A152C3" w:rsidR="00D86F5B" w:rsidRDefault="00D86F5B" w:rsidP="00680247">
      <w:pPr>
        <w:pStyle w:val="ListParagraph"/>
        <w:spacing w:before="240" w:after="60" w:line="360" w:lineRule="auto"/>
        <w:rPr>
          <w:b/>
          <w:bCs/>
          <w:u w:val="single"/>
        </w:rPr>
      </w:pPr>
      <w:r w:rsidRPr="00D86F5B">
        <w:rPr>
          <w:b/>
          <w:bCs/>
          <w:u w:val="single"/>
        </w:rPr>
        <w:t>Backup RFQ Coordinator</w:t>
      </w:r>
    </w:p>
    <w:p w14:paraId="43A0DC20" w14:textId="4FDCCE57" w:rsidR="00D86F5B" w:rsidRPr="00BC5EAC" w:rsidRDefault="00D86F5B" w:rsidP="00D86F5B">
      <w:pPr>
        <w:pStyle w:val="ListParagraph"/>
        <w:spacing w:before="240" w:after="60" w:line="360" w:lineRule="auto"/>
        <w:rPr>
          <w:b/>
          <w:bCs/>
        </w:rPr>
      </w:pPr>
      <w:r w:rsidRPr="00BC5EAC">
        <w:rPr>
          <w:b/>
          <w:bCs/>
        </w:rPr>
        <w:t>Contact Name:</w:t>
      </w:r>
      <w:r w:rsidRPr="00BC5EAC">
        <w:rPr>
          <w:b/>
          <w:bCs/>
        </w:rPr>
        <w:tab/>
      </w:r>
      <w:r>
        <w:rPr>
          <w:b/>
          <w:bCs/>
        </w:rPr>
        <w:t>Michael Callahan</w:t>
      </w:r>
    </w:p>
    <w:p w14:paraId="0D29827B" w14:textId="1881E08E" w:rsidR="00D86F5B" w:rsidRPr="00BC5EAC" w:rsidRDefault="00D86F5B" w:rsidP="00D86F5B">
      <w:pPr>
        <w:pStyle w:val="ListParagraph"/>
        <w:spacing w:before="240" w:after="60" w:line="360" w:lineRule="auto"/>
        <w:rPr>
          <w:b/>
          <w:bCs/>
        </w:rPr>
      </w:pPr>
      <w:r w:rsidRPr="00BC5EAC">
        <w:rPr>
          <w:b/>
          <w:bCs/>
        </w:rPr>
        <w:t xml:space="preserve">E-mail Address: </w:t>
      </w:r>
      <w:r w:rsidRPr="00BC5EAC">
        <w:rPr>
          <w:b/>
          <w:bCs/>
        </w:rPr>
        <w:tab/>
      </w:r>
      <w:hyperlink r:id="rId13" w:history="1">
        <w:r w:rsidRPr="00816BB9">
          <w:rPr>
            <w:rStyle w:val="Hyperlink"/>
            <w:b/>
            <w:bCs/>
          </w:rPr>
          <w:t>michael.callahan@watech.wa.gov</w:t>
        </w:r>
      </w:hyperlink>
    </w:p>
    <w:p w14:paraId="0C7F6DC5" w14:textId="4AAB1497" w:rsidR="00D86F5B" w:rsidRDefault="00D86F5B" w:rsidP="00D86F5B">
      <w:pPr>
        <w:pStyle w:val="ListParagraph"/>
        <w:spacing w:before="240" w:after="60" w:line="360" w:lineRule="auto"/>
        <w:rPr>
          <w:b/>
          <w:bCs/>
        </w:rPr>
      </w:pPr>
      <w:r w:rsidRPr="00BC5EAC">
        <w:rPr>
          <w:b/>
          <w:bCs/>
        </w:rPr>
        <w:t xml:space="preserve">Phone: </w:t>
      </w:r>
      <w:r w:rsidRPr="00BC5EAC">
        <w:rPr>
          <w:b/>
          <w:bCs/>
        </w:rPr>
        <w:tab/>
      </w:r>
      <w:r w:rsidRPr="00BC5EAC">
        <w:rPr>
          <w:b/>
          <w:bCs/>
        </w:rPr>
        <w:tab/>
        <w:t>360.407.8</w:t>
      </w:r>
      <w:r>
        <w:rPr>
          <w:b/>
          <w:bCs/>
        </w:rPr>
        <w:t>765</w:t>
      </w:r>
    </w:p>
    <w:p w14:paraId="15182605" w14:textId="77777777" w:rsidR="00D86F5B" w:rsidRDefault="00D86F5B" w:rsidP="00B53F1F">
      <w:pPr>
        <w:pStyle w:val="Style1"/>
        <w:rPr>
          <w:sz w:val="24"/>
        </w:rPr>
      </w:pPr>
    </w:p>
    <w:p w14:paraId="794ECAE7" w14:textId="2041BDB9" w:rsidR="00B53F1F" w:rsidRDefault="00B82DA4"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contact’s email inbox shall be used as the time received in order to measure </w:t>
      </w:r>
      <w:r w:rsidR="004C3649">
        <w:t>Contractor</w:t>
      </w:r>
      <w:r w:rsidRPr="009F382D">
        <w:t xml:space="preserve"> </w:t>
      </w:r>
      <w:r w:rsidRPr="009F382D">
        <w:lastRenderedPageBreak/>
        <w:t xml:space="preserve">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3901EBCF" w:rsidR="00582B8F" w:rsidRDefault="00582B8F" w:rsidP="00582B8F">
      <w:pPr>
        <w:pStyle w:val="ListParagraph"/>
        <w:spacing w:before="108"/>
        <w:ind w:right="288"/>
        <w:jc w:val="both"/>
      </w:pPr>
      <w:r>
        <w:t xml:space="preserve">The proposed services must meet all of the Mandatory specifications herein and in the </w:t>
      </w:r>
      <w:r w:rsidR="00D84088">
        <w:t>Network Services Agreement</w:t>
      </w:r>
      <w:r>
        <w:t xml:space="preserve"> and Technical Addendum unless otherwise stated by </w:t>
      </w:r>
      <w:r w:rsidR="0060744C">
        <w:t>WaTech</w:t>
      </w:r>
      <w:r>
        <w:t xml:space="preserve">.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r>
        <w:t>Contractor</w:t>
      </w:r>
      <w:r w:rsidR="00582B8F">
        <w:t xml:space="preserve"> response must always indicate explicitly whether or not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B82DA4" w14:paraId="16689287" w14:textId="77777777" w:rsidTr="00BC5EAC">
        <w:trPr>
          <w:trHeight w:val="590"/>
        </w:trPr>
        <w:tc>
          <w:tcPr>
            <w:tcW w:w="2264" w:type="dxa"/>
            <w:tcBorders>
              <w:top w:val="single" w:sz="4" w:space="0" w:color="auto"/>
              <w:left w:val="single" w:sz="4" w:space="0" w:color="auto"/>
              <w:bottom w:val="single" w:sz="4" w:space="0" w:color="auto"/>
              <w:right w:val="single" w:sz="4" w:space="0" w:color="auto"/>
            </w:tcBorders>
            <w:shd w:val="clear" w:color="auto" w:fill="auto"/>
          </w:tcPr>
          <w:p w14:paraId="03780C15" w14:textId="1E84C36F" w:rsidR="00B82DA4" w:rsidRPr="00BC5EAC" w:rsidRDefault="00D86F5B" w:rsidP="00B82DA4">
            <w:pPr>
              <w:spacing w:before="216" w:after="72" w:line="259" w:lineRule="auto"/>
              <w:jc w:val="center"/>
            </w:pPr>
            <w:r>
              <w:rPr>
                <w:rFonts w:eastAsiaTheme="minorHAnsi"/>
              </w:rPr>
              <w:t>03/</w:t>
            </w:r>
            <w:r w:rsidR="00FB46ED">
              <w:rPr>
                <w:rFonts w:eastAsiaTheme="minorHAnsi"/>
              </w:rPr>
              <w:t>26</w:t>
            </w:r>
            <w:r w:rsidR="00BC5EAC" w:rsidRPr="00BC5EAC">
              <w:rPr>
                <w:rFonts w:eastAsiaTheme="minorHAnsi"/>
              </w:rPr>
              <w:t>/2025</w:t>
            </w:r>
          </w:p>
        </w:tc>
        <w:tc>
          <w:tcPr>
            <w:tcW w:w="5561" w:type="dxa"/>
            <w:tcBorders>
              <w:left w:val="single" w:sz="4" w:space="0" w:color="auto"/>
            </w:tcBorders>
            <w:shd w:val="clear" w:color="auto" w:fill="auto"/>
            <w:hideMark/>
          </w:tcPr>
          <w:p w14:paraId="2F74297E" w14:textId="77777777" w:rsidR="00B82DA4" w:rsidRDefault="00B82DA4" w:rsidP="00B82DA4">
            <w:pPr>
              <w:spacing w:before="216" w:after="72"/>
              <w:rPr>
                <w:rFonts w:ascii="Calibri" w:eastAsiaTheme="minorHAnsi" w:hAnsi="Calibri"/>
              </w:rPr>
            </w:pPr>
            <w:r>
              <w:t>Solicitation released</w:t>
            </w:r>
          </w:p>
        </w:tc>
      </w:tr>
      <w:tr w:rsidR="00B82DA4" w14:paraId="550F208C" w14:textId="77777777" w:rsidTr="00BC5EAC">
        <w:tc>
          <w:tcPr>
            <w:tcW w:w="2264" w:type="dxa"/>
            <w:tcBorders>
              <w:top w:val="single" w:sz="4" w:space="0" w:color="auto"/>
              <w:left w:val="single" w:sz="4" w:space="0" w:color="auto"/>
              <w:bottom w:val="single" w:sz="4" w:space="0" w:color="auto"/>
              <w:right w:val="single" w:sz="4" w:space="0" w:color="auto"/>
            </w:tcBorders>
            <w:shd w:val="clear" w:color="auto" w:fill="auto"/>
          </w:tcPr>
          <w:p w14:paraId="44CA1105" w14:textId="64C78973" w:rsidR="00B82DA4" w:rsidRPr="00BC5EAC" w:rsidRDefault="00FB46ED" w:rsidP="00B82DA4">
            <w:pPr>
              <w:spacing w:before="216" w:after="72"/>
              <w:jc w:val="center"/>
              <w:rPr>
                <w:rFonts w:eastAsiaTheme="minorEastAsia"/>
              </w:rPr>
            </w:pPr>
            <w:r>
              <w:rPr>
                <w:rFonts w:eastAsiaTheme="minorHAnsi"/>
              </w:rPr>
              <w:t>04/01</w:t>
            </w:r>
            <w:r w:rsidR="00B82DA4" w:rsidRPr="00BC5EAC">
              <w:rPr>
                <w:rFonts w:eastAsiaTheme="minorHAnsi"/>
              </w:rPr>
              <w:t>/2025</w:t>
            </w:r>
          </w:p>
        </w:tc>
        <w:tc>
          <w:tcPr>
            <w:tcW w:w="5561" w:type="dxa"/>
            <w:tcBorders>
              <w:left w:val="single" w:sz="4" w:space="0" w:color="auto"/>
            </w:tcBorders>
            <w:shd w:val="clear" w:color="auto" w:fill="auto"/>
            <w:hideMark/>
          </w:tcPr>
          <w:p w14:paraId="16FBCDB4" w14:textId="35633DFE" w:rsidR="00B82DA4" w:rsidRDefault="00B82DA4" w:rsidP="00B82DA4">
            <w:pPr>
              <w:spacing w:before="216" w:after="72"/>
              <w:rPr>
                <w:rFonts w:ascii="Calibri" w:eastAsiaTheme="minorEastAsia" w:hAnsi="Calibri"/>
              </w:rPr>
            </w:pPr>
            <w:r>
              <w:t xml:space="preserve">Final Contractor Comments and Questions due by </w:t>
            </w:r>
            <w:r w:rsidRPr="07B152BB">
              <w:rPr>
                <w:b/>
                <w:bCs/>
              </w:rPr>
              <w:t>12:00 p.m.</w:t>
            </w:r>
            <w:r>
              <w:t xml:space="preserve"> Olympia, WA Time </w:t>
            </w:r>
          </w:p>
        </w:tc>
      </w:tr>
      <w:tr w:rsidR="00B82DA4" w14:paraId="08DE2A8B" w14:textId="77777777" w:rsidTr="00BC5EAC">
        <w:tc>
          <w:tcPr>
            <w:tcW w:w="2264" w:type="dxa"/>
            <w:tcBorders>
              <w:top w:val="single" w:sz="4" w:space="0" w:color="auto"/>
            </w:tcBorders>
            <w:shd w:val="clear" w:color="auto" w:fill="auto"/>
          </w:tcPr>
          <w:p w14:paraId="40607081" w14:textId="1F0AC30D" w:rsidR="00B82DA4" w:rsidRPr="00BC5EAC" w:rsidRDefault="00FB46ED" w:rsidP="00B82DA4">
            <w:pPr>
              <w:spacing w:before="216" w:after="72"/>
              <w:jc w:val="center"/>
              <w:rPr>
                <w:rFonts w:eastAsiaTheme="minorEastAsia"/>
              </w:rPr>
            </w:pPr>
            <w:r>
              <w:rPr>
                <w:rFonts w:eastAsiaTheme="minorHAnsi"/>
              </w:rPr>
              <w:t>04/03</w:t>
            </w:r>
            <w:r w:rsidR="00BC5EAC">
              <w:rPr>
                <w:rFonts w:eastAsiaTheme="minorHAnsi"/>
              </w:rPr>
              <w:t>/</w:t>
            </w:r>
            <w:r w:rsidR="00B82DA4" w:rsidRPr="00BC5EAC">
              <w:rPr>
                <w:rFonts w:eastAsiaTheme="minorHAnsi"/>
              </w:rPr>
              <w:t>2025</w:t>
            </w:r>
          </w:p>
        </w:tc>
        <w:tc>
          <w:tcPr>
            <w:tcW w:w="5561" w:type="dxa"/>
            <w:shd w:val="clear" w:color="auto" w:fill="auto"/>
            <w:hideMark/>
          </w:tcPr>
          <w:p w14:paraId="4EC8CFF1" w14:textId="0EA7D3C3" w:rsidR="00B82DA4" w:rsidRPr="00BC5EAC" w:rsidRDefault="00B82DA4" w:rsidP="00B82DA4">
            <w:pPr>
              <w:spacing w:before="216" w:after="72"/>
              <w:rPr>
                <w:rFonts w:ascii="Calibri" w:eastAsiaTheme="minorHAnsi" w:hAnsi="Calibri"/>
              </w:rPr>
            </w:pPr>
            <w:r w:rsidRPr="00BC5EAC">
              <w:t>WaTech’s Final Written Answers Issued</w:t>
            </w:r>
          </w:p>
        </w:tc>
      </w:tr>
      <w:tr w:rsidR="00B82DA4" w14:paraId="79DF34B0" w14:textId="77777777" w:rsidTr="00BC5EAC">
        <w:tc>
          <w:tcPr>
            <w:tcW w:w="2264" w:type="dxa"/>
            <w:tcBorders>
              <w:bottom w:val="single" w:sz="4" w:space="0" w:color="auto"/>
            </w:tcBorders>
            <w:shd w:val="clear" w:color="auto" w:fill="auto"/>
          </w:tcPr>
          <w:p w14:paraId="7EBE3DB8" w14:textId="24BF670F" w:rsidR="00B82DA4" w:rsidRPr="00BC5EAC" w:rsidRDefault="00FB46ED" w:rsidP="00B82DA4">
            <w:pPr>
              <w:spacing w:before="216" w:after="72"/>
              <w:jc w:val="center"/>
              <w:rPr>
                <w:rFonts w:eastAsiaTheme="minorEastAsia"/>
              </w:rPr>
            </w:pPr>
            <w:r>
              <w:rPr>
                <w:rFonts w:eastAsiaTheme="minorHAnsi"/>
              </w:rPr>
              <w:t>04/04</w:t>
            </w:r>
            <w:r w:rsidR="00B82DA4" w:rsidRPr="00BC5EAC">
              <w:rPr>
                <w:rFonts w:eastAsiaTheme="minorHAnsi"/>
              </w:rPr>
              <w:t>/2025</w:t>
            </w:r>
          </w:p>
        </w:tc>
        <w:tc>
          <w:tcPr>
            <w:tcW w:w="5561" w:type="dxa"/>
            <w:shd w:val="clear" w:color="auto" w:fill="auto"/>
          </w:tcPr>
          <w:p w14:paraId="58CBC7AF" w14:textId="5A9BFBE0" w:rsidR="00B82DA4" w:rsidRPr="00BC5EAC" w:rsidRDefault="00B82DA4" w:rsidP="00B82DA4">
            <w:pPr>
              <w:spacing w:before="216" w:after="72"/>
              <w:rPr>
                <w:b/>
                <w:bCs/>
              </w:rPr>
            </w:pPr>
            <w:r w:rsidRPr="00BC5EAC">
              <w:t xml:space="preserve">Pre-proposal Conference </w:t>
            </w:r>
            <w:r w:rsidR="00FB46ED">
              <w:t>9</w:t>
            </w:r>
            <w:r w:rsidRPr="00BC5EAC">
              <w:t>:30am – 1</w:t>
            </w:r>
            <w:r w:rsidR="00FB46ED">
              <w:t>0</w:t>
            </w:r>
            <w:r w:rsidRPr="00BC5EAC">
              <w:t>:00</w:t>
            </w:r>
            <w:r w:rsidR="00FB46ED">
              <w:t>a</w:t>
            </w:r>
            <w:r w:rsidRPr="00BC5EAC">
              <w:t>m</w:t>
            </w:r>
            <w:r w:rsidRPr="00BC5EAC">
              <w:rPr>
                <w:b/>
                <w:bCs/>
              </w:rPr>
              <w:t>* Olympia, WA Time</w:t>
            </w:r>
          </w:p>
          <w:p w14:paraId="2D2214A9" w14:textId="77777777" w:rsidR="00FB46ED" w:rsidRPr="00FB46ED" w:rsidRDefault="00FB46ED" w:rsidP="00FB46ED">
            <w:pPr>
              <w:widowControl/>
              <w:autoSpaceDE/>
              <w:autoSpaceDN/>
              <w:rPr>
                <w:rFonts w:ascii="Segoe UI" w:eastAsia="Aptos" w:hAnsi="Segoe UI" w:cs="Segoe UI"/>
                <w:color w:val="242424"/>
                <w:sz w:val="22"/>
                <w:szCs w:val="22"/>
                <w14:ligatures w14:val="standardContextual"/>
              </w:rPr>
            </w:pPr>
            <w:r w:rsidRPr="00FB46ED">
              <w:rPr>
                <w:rFonts w:ascii="Segoe UI" w:eastAsia="Aptos" w:hAnsi="Segoe UI" w:cs="Segoe UI"/>
                <w:b/>
                <w:bCs/>
                <w:color w:val="242424"/>
                <w:sz w:val="36"/>
                <w:szCs w:val="36"/>
                <w14:ligatures w14:val="standardContextual"/>
              </w:rPr>
              <w:t>Microsoft Teams</w:t>
            </w:r>
            <w:r w:rsidRPr="00FB46ED">
              <w:rPr>
                <w:rFonts w:ascii="Segoe UI" w:eastAsia="Aptos" w:hAnsi="Segoe UI" w:cs="Segoe UI"/>
                <w:color w:val="242424"/>
                <w:sz w:val="22"/>
                <w:szCs w:val="22"/>
                <w14:ligatures w14:val="standardContextual"/>
              </w:rPr>
              <w:t xml:space="preserve"> </w:t>
            </w:r>
            <w:hyperlink r:id="rId14" w:history="1">
              <w:r w:rsidRPr="00FB46ED">
                <w:rPr>
                  <w:rFonts w:ascii="Segoe UI" w:eastAsia="Aptos" w:hAnsi="Segoe UI" w:cs="Segoe UI"/>
                  <w:color w:val="5B5FC7"/>
                  <w:sz w:val="21"/>
                  <w:szCs w:val="21"/>
                  <w:u w:val="single"/>
                  <w14:ligatures w14:val="standardContextual"/>
                </w:rPr>
                <w:t>Need help?</w:t>
              </w:r>
            </w:hyperlink>
            <w:r w:rsidRPr="00FB46ED">
              <w:rPr>
                <w:rFonts w:ascii="Segoe UI" w:eastAsia="Aptos" w:hAnsi="Segoe UI" w:cs="Segoe UI"/>
                <w:color w:val="242424"/>
                <w:sz w:val="22"/>
                <w:szCs w:val="22"/>
                <w14:ligatures w14:val="standardContextual"/>
              </w:rPr>
              <w:t xml:space="preserve"> </w:t>
            </w:r>
          </w:p>
          <w:p w14:paraId="0F7F5C11" w14:textId="77777777" w:rsidR="00FB46ED" w:rsidRPr="00FB46ED" w:rsidRDefault="00FB46ED" w:rsidP="00FB46ED">
            <w:pPr>
              <w:widowControl/>
              <w:autoSpaceDE/>
              <w:autoSpaceDN/>
              <w:rPr>
                <w:rFonts w:ascii="Segoe UI" w:eastAsia="Aptos" w:hAnsi="Segoe UI" w:cs="Segoe UI"/>
                <w:color w:val="242424"/>
                <w:sz w:val="22"/>
                <w:szCs w:val="22"/>
                <w14:ligatures w14:val="standardContextual"/>
              </w:rPr>
            </w:pPr>
            <w:hyperlink r:id="rId15" w:tgtFrame="_blank" w:tooltip="Meeting join link" w:history="1">
              <w:r w:rsidRPr="00FB46ED">
                <w:rPr>
                  <w:rFonts w:ascii="Segoe UI" w:eastAsia="Aptos" w:hAnsi="Segoe UI" w:cs="Segoe UI"/>
                  <w:b/>
                  <w:bCs/>
                  <w:color w:val="5B5FC7"/>
                  <w:sz w:val="30"/>
                  <w:szCs w:val="30"/>
                  <w:u w:val="single"/>
                  <w14:ligatures w14:val="standardContextual"/>
                </w:rPr>
                <w:t>Join the meeting now</w:t>
              </w:r>
            </w:hyperlink>
            <w:r w:rsidRPr="00FB46ED">
              <w:rPr>
                <w:rFonts w:ascii="Segoe UI" w:eastAsia="Aptos" w:hAnsi="Segoe UI" w:cs="Segoe UI"/>
                <w:color w:val="242424"/>
                <w:sz w:val="22"/>
                <w:szCs w:val="22"/>
                <w14:ligatures w14:val="standardContextual"/>
              </w:rPr>
              <w:t xml:space="preserve"> </w:t>
            </w:r>
          </w:p>
          <w:p w14:paraId="23FBBC2D" w14:textId="77777777" w:rsidR="00FB46ED" w:rsidRPr="00FB46ED" w:rsidRDefault="00FB46ED" w:rsidP="00FB46ED">
            <w:pPr>
              <w:widowControl/>
              <w:autoSpaceDE/>
              <w:autoSpaceDN/>
              <w:rPr>
                <w:rFonts w:ascii="Segoe UI" w:eastAsia="Aptos" w:hAnsi="Segoe UI" w:cs="Segoe UI"/>
                <w:color w:val="242424"/>
                <w:sz w:val="22"/>
                <w:szCs w:val="22"/>
                <w14:ligatures w14:val="standardContextual"/>
              </w:rPr>
            </w:pPr>
            <w:r w:rsidRPr="00FB46ED">
              <w:rPr>
                <w:rFonts w:ascii="Segoe UI" w:eastAsia="Aptos" w:hAnsi="Segoe UI" w:cs="Segoe UI"/>
                <w:color w:val="616161"/>
                <w:sz w:val="21"/>
                <w:szCs w:val="21"/>
                <w14:ligatures w14:val="standardContextual"/>
              </w:rPr>
              <w:t xml:space="preserve">Meeting ID: </w:t>
            </w:r>
            <w:r w:rsidRPr="00FB46ED">
              <w:rPr>
                <w:rFonts w:ascii="Segoe UI" w:eastAsia="Aptos" w:hAnsi="Segoe UI" w:cs="Segoe UI"/>
                <w:color w:val="242424"/>
                <w:sz w:val="21"/>
                <w:szCs w:val="21"/>
                <w14:ligatures w14:val="standardContextual"/>
              </w:rPr>
              <w:t>240 947 793 416</w:t>
            </w:r>
            <w:r w:rsidRPr="00FB46ED">
              <w:rPr>
                <w:rFonts w:ascii="Segoe UI" w:eastAsia="Aptos" w:hAnsi="Segoe UI" w:cs="Segoe UI"/>
                <w:color w:val="242424"/>
                <w:sz w:val="22"/>
                <w:szCs w:val="22"/>
                <w14:ligatures w14:val="standardContextual"/>
              </w:rPr>
              <w:t xml:space="preserve"> </w:t>
            </w:r>
          </w:p>
          <w:p w14:paraId="0B6ECAD4" w14:textId="77777777" w:rsidR="00FB46ED" w:rsidRPr="00FB46ED" w:rsidRDefault="00FB46ED" w:rsidP="00FB46ED">
            <w:pPr>
              <w:widowControl/>
              <w:autoSpaceDE/>
              <w:autoSpaceDN/>
              <w:rPr>
                <w:rFonts w:ascii="Segoe UI" w:eastAsia="Aptos" w:hAnsi="Segoe UI" w:cs="Segoe UI"/>
                <w:color w:val="242424"/>
                <w:sz w:val="22"/>
                <w:szCs w:val="22"/>
                <w14:ligatures w14:val="standardContextual"/>
              </w:rPr>
            </w:pPr>
            <w:r w:rsidRPr="00FB46ED">
              <w:rPr>
                <w:rFonts w:ascii="Segoe UI" w:eastAsia="Aptos" w:hAnsi="Segoe UI" w:cs="Segoe UI"/>
                <w:color w:val="616161"/>
                <w:sz w:val="21"/>
                <w:szCs w:val="21"/>
                <w14:ligatures w14:val="standardContextual"/>
              </w:rPr>
              <w:t xml:space="preserve">Passcode: </w:t>
            </w:r>
            <w:r w:rsidRPr="00FB46ED">
              <w:rPr>
                <w:rFonts w:ascii="Segoe UI" w:eastAsia="Aptos" w:hAnsi="Segoe UI" w:cs="Segoe UI"/>
                <w:color w:val="242424"/>
                <w:sz w:val="21"/>
                <w:szCs w:val="21"/>
                <w14:ligatures w14:val="standardContextual"/>
              </w:rPr>
              <w:t>DC36Yq6V</w:t>
            </w:r>
            <w:r w:rsidRPr="00FB46ED">
              <w:rPr>
                <w:rFonts w:ascii="Segoe UI" w:eastAsia="Aptos" w:hAnsi="Segoe UI" w:cs="Segoe UI"/>
                <w:color w:val="242424"/>
                <w:sz w:val="22"/>
                <w:szCs w:val="22"/>
                <w14:ligatures w14:val="standardContextual"/>
              </w:rPr>
              <w:t xml:space="preserve"> </w:t>
            </w:r>
          </w:p>
          <w:p w14:paraId="3467D2E3" w14:textId="77777777" w:rsidR="00FB46ED" w:rsidRPr="00FB46ED" w:rsidRDefault="006669DE" w:rsidP="00FB46ED">
            <w:pPr>
              <w:widowControl/>
              <w:autoSpaceDE/>
              <w:autoSpaceDN/>
              <w:jc w:val="center"/>
              <w:rPr>
                <w:rFonts w:ascii="Segoe UI" w:hAnsi="Segoe UI" w:cs="Segoe UI"/>
                <w:color w:val="242424"/>
                <w:sz w:val="22"/>
                <w:szCs w:val="22"/>
                <w14:ligatures w14:val="standardContextual"/>
              </w:rPr>
            </w:pPr>
            <w:r>
              <w:rPr>
                <w:rFonts w:ascii="Segoe UI" w:hAnsi="Segoe UI" w:cs="Segoe UI"/>
                <w:color w:val="242424"/>
                <w:sz w:val="22"/>
                <w:szCs w:val="22"/>
                <w14:ligatures w14:val="standardContextual"/>
              </w:rPr>
              <w:pict w14:anchorId="0017D3B9">
                <v:rect id="_x0000_i1025" style="width:468pt;height:.5pt" o:hralign="center" o:hrstd="t" o:hr="t" fillcolor="#a0a0a0" stroked="f"/>
              </w:pict>
            </w:r>
          </w:p>
          <w:p w14:paraId="0E122293" w14:textId="77777777" w:rsidR="00FB46ED" w:rsidRPr="00FB46ED" w:rsidRDefault="00FB46ED" w:rsidP="00FB46ED">
            <w:pPr>
              <w:widowControl/>
              <w:autoSpaceDE/>
              <w:autoSpaceDN/>
              <w:rPr>
                <w:rFonts w:ascii="Segoe UI" w:eastAsia="Aptos" w:hAnsi="Segoe UI" w:cs="Segoe UI"/>
                <w:color w:val="242424"/>
                <w:sz w:val="22"/>
                <w:szCs w:val="22"/>
                <w14:ligatures w14:val="standardContextual"/>
              </w:rPr>
            </w:pPr>
            <w:r w:rsidRPr="00FB46ED">
              <w:rPr>
                <w:rFonts w:ascii="Segoe UI" w:eastAsia="Aptos" w:hAnsi="Segoe UI" w:cs="Segoe UI"/>
                <w:b/>
                <w:bCs/>
                <w:color w:val="242424"/>
                <w:sz w:val="22"/>
                <w:szCs w:val="22"/>
                <w14:ligatures w14:val="standardContextual"/>
              </w:rPr>
              <w:t>Dial in by phone</w:t>
            </w:r>
            <w:r w:rsidRPr="00FB46ED">
              <w:rPr>
                <w:rFonts w:ascii="Segoe UI" w:eastAsia="Aptos" w:hAnsi="Segoe UI" w:cs="Segoe UI"/>
                <w:color w:val="242424"/>
                <w:sz w:val="22"/>
                <w:szCs w:val="22"/>
                <w14:ligatures w14:val="standardContextual"/>
              </w:rPr>
              <w:t xml:space="preserve"> </w:t>
            </w:r>
          </w:p>
          <w:p w14:paraId="68C523E6" w14:textId="77777777" w:rsidR="00FB46ED" w:rsidRPr="00FB46ED" w:rsidRDefault="00FB46ED" w:rsidP="00FB46ED">
            <w:pPr>
              <w:widowControl/>
              <w:autoSpaceDE/>
              <w:autoSpaceDN/>
              <w:rPr>
                <w:rFonts w:ascii="Segoe UI" w:eastAsia="Aptos" w:hAnsi="Segoe UI" w:cs="Segoe UI"/>
                <w:color w:val="242424"/>
                <w:sz w:val="22"/>
                <w:szCs w:val="22"/>
                <w14:ligatures w14:val="standardContextual"/>
              </w:rPr>
            </w:pPr>
            <w:hyperlink r:id="rId16" w:history="1">
              <w:r w:rsidRPr="00FB46ED">
                <w:rPr>
                  <w:rFonts w:ascii="Segoe UI" w:eastAsia="Aptos" w:hAnsi="Segoe UI" w:cs="Segoe UI"/>
                  <w:color w:val="5B5FC7"/>
                  <w:sz w:val="21"/>
                  <w:szCs w:val="21"/>
                  <w:u w:val="single"/>
                  <w14:ligatures w14:val="standardContextual"/>
                </w:rPr>
                <w:t>+1 564-999-2000,,28044262#</w:t>
              </w:r>
            </w:hyperlink>
            <w:r w:rsidRPr="00FB46ED">
              <w:rPr>
                <w:rFonts w:ascii="Segoe UI" w:eastAsia="Aptos" w:hAnsi="Segoe UI" w:cs="Segoe UI"/>
                <w:color w:val="242424"/>
                <w:sz w:val="22"/>
                <w:szCs w:val="22"/>
                <w14:ligatures w14:val="standardContextual"/>
              </w:rPr>
              <w:t xml:space="preserve"> </w:t>
            </w:r>
            <w:r w:rsidRPr="00FB46ED">
              <w:rPr>
                <w:rFonts w:ascii="Segoe UI" w:eastAsia="Aptos" w:hAnsi="Segoe UI" w:cs="Segoe UI"/>
                <w:color w:val="616161"/>
                <w:sz w:val="21"/>
                <w:szCs w:val="21"/>
                <w14:ligatures w14:val="standardContextual"/>
              </w:rPr>
              <w:t>United States, Olympia</w:t>
            </w:r>
            <w:r w:rsidRPr="00FB46ED">
              <w:rPr>
                <w:rFonts w:ascii="Segoe UI" w:eastAsia="Aptos" w:hAnsi="Segoe UI" w:cs="Segoe UI"/>
                <w:color w:val="242424"/>
                <w:sz w:val="22"/>
                <w:szCs w:val="22"/>
                <w14:ligatures w14:val="standardContextual"/>
              </w:rPr>
              <w:t xml:space="preserve"> </w:t>
            </w:r>
          </w:p>
          <w:p w14:paraId="6DFF237A" w14:textId="77777777" w:rsidR="00FB46ED" w:rsidRPr="00FB46ED" w:rsidRDefault="00FB46ED" w:rsidP="00FB46ED">
            <w:pPr>
              <w:widowControl/>
              <w:autoSpaceDE/>
              <w:autoSpaceDN/>
              <w:rPr>
                <w:rFonts w:ascii="Segoe UI" w:eastAsia="Aptos" w:hAnsi="Segoe UI" w:cs="Segoe UI"/>
                <w:color w:val="242424"/>
                <w:sz w:val="22"/>
                <w:szCs w:val="22"/>
                <w14:ligatures w14:val="standardContextual"/>
              </w:rPr>
            </w:pPr>
            <w:hyperlink r:id="rId17" w:history="1">
              <w:r w:rsidRPr="00FB46ED">
                <w:rPr>
                  <w:rFonts w:ascii="Segoe UI" w:eastAsia="Aptos" w:hAnsi="Segoe UI" w:cs="Segoe UI"/>
                  <w:color w:val="5B5FC7"/>
                  <w:sz w:val="21"/>
                  <w:szCs w:val="21"/>
                  <w:u w:val="single"/>
                  <w14:ligatures w14:val="standardContextual"/>
                </w:rPr>
                <w:t>Find a local number</w:t>
              </w:r>
            </w:hyperlink>
            <w:r w:rsidRPr="00FB46ED">
              <w:rPr>
                <w:rFonts w:ascii="Segoe UI" w:eastAsia="Aptos" w:hAnsi="Segoe UI" w:cs="Segoe UI"/>
                <w:color w:val="242424"/>
                <w:sz w:val="22"/>
                <w:szCs w:val="22"/>
                <w14:ligatures w14:val="standardContextual"/>
              </w:rPr>
              <w:t xml:space="preserve"> </w:t>
            </w:r>
          </w:p>
          <w:p w14:paraId="7000FDA6" w14:textId="77777777" w:rsidR="00FB46ED" w:rsidRPr="00FB46ED" w:rsidRDefault="00FB46ED" w:rsidP="00FB46ED">
            <w:pPr>
              <w:widowControl/>
              <w:autoSpaceDE/>
              <w:autoSpaceDN/>
              <w:rPr>
                <w:rFonts w:ascii="Segoe UI" w:eastAsia="Aptos" w:hAnsi="Segoe UI" w:cs="Segoe UI"/>
                <w:color w:val="242424"/>
                <w:sz w:val="22"/>
                <w:szCs w:val="22"/>
                <w14:ligatures w14:val="standardContextual"/>
              </w:rPr>
            </w:pPr>
            <w:r w:rsidRPr="00FB46ED">
              <w:rPr>
                <w:rFonts w:ascii="Segoe UI" w:eastAsia="Aptos" w:hAnsi="Segoe UI" w:cs="Segoe UI"/>
                <w:color w:val="616161"/>
                <w:sz w:val="21"/>
                <w:szCs w:val="21"/>
                <w14:ligatures w14:val="standardContextual"/>
              </w:rPr>
              <w:t xml:space="preserve">Phone conference ID: </w:t>
            </w:r>
            <w:r w:rsidRPr="00FB46ED">
              <w:rPr>
                <w:rFonts w:ascii="Segoe UI" w:eastAsia="Aptos" w:hAnsi="Segoe UI" w:cs="Segoe UI"/>
                <w:color w:val="242424"/>
                <w:sz w:val="21"/>
                <w:szCs w:val="21"/>
                <w14:ligatures w14:val="standardContextual"/>
              </w:rPr>
              <w:t>280 442 62#</w:t>
            </w:r>
            <w:r w:rsidRPr="00FB46ED">
              <w:rPr>
                <w:rFonts w:ascii="Segoe UI" w:eastAsia="Aptos" w:hAnsi="Segoe UI" w:cs="Segoe UI"/>
                <w:color w:val="242424"/>
                <w:sz w:val="22"/>
                <w:szCs w:val="22"/>
                <w14:ligatures w14:val="standardContextual"/>
              </w:rPr>
              <w:t xml:space="preserve"> </w:t>
            </w:r>
          </w:p>
          <w:p w14:paraId="6352C868" w14:textId="0BE6C0E7" w:rsidR="00B82DA4" w:rsidRPr="00BC5EAC" w:rsidRDefault="00B82DA4" w:rsidP="00B82DA4"/>
        </w:tc>
      </w:tr>
      <w:tr w:rsidR="00B82DA4" w14:paraId="3AA6CFF6" w14:textId="77777777" w:rsidTr="00BC5EAC">
        <w:tc>
          <w:tcPr>
            <w:tcW w:w="2264" w:type="dxa"/>
            <w:tcBorders>
              <w:bottom w:val="single" w:sz="4" w:space="0" w:color="auto"/>
            </w:tcBorders>
            <w:shd w:val="clear" w:color="auto" w:fill="auto"/>
          </w:tcPr>
          <w:p w14:paraId="4E12CFBE" w14:textId="5EAF86CB" w:rsidR="00B82DA4" w:rsidRPr="00BC5EAC" w:rsidRDefault="00FB46ED" w:rsidP="00B82DA4">
            <w:pPr>
              <w:spacing w:before="216" w:after="72" w:line="259" w:lineRule="auto"/>
              <w:jc w:val="center"/>
              <w:rPr>
                <w:rFonts w:eastAsiaTheme="minorEastAsia"/>
              </w:rPr>
            </w:pPr>
            <w:r>
              <w:rPr>
                <w:rFonts w:eastAsiaTheme="minorHAnsi"/>
              </w:rPr>
              <w:t>04/11</w:t>
            </w:r>
            <w:r w:rsidR="00B82DA4" w:rsidRPr="00BC5EAC">
              <w:rPr>
                <w:rFonts w:eastAsiaTheme="minorHAnsi"/>
              </w:rPr>
              <w:t>/2025</w:t>
            </w:r>
          </w:p>
        </w:tc>
        <w:tc>
          <w:tcPr>
            <w:tcW w:w="5561" w:type="dxa"/>
            <w:shd w:val="clear" w:color="auto" w:fill="auto"/>
            <w:hideMark/>
          </w:tcPr>
          <w:p w14:paraId="42B87D2C" w14:textId="0C865C07" w:rsidR="00B82DA4" w:rsidRPr="00BC5EAC" w:rsidRDefault="00B82DA4" w:rsidP="00B82DA4">
            <w:pPr>
              <w:spacing w:before="216" w:after="72"/>
              <w:rPr>
                <w:rFonts w:ascii="Calibri" w:eastAsiaTheme="minorEastAsia" w:hAnsi="Calibri"/>
              </w:rPr>
            </w:pPr>
            <w:r w:rsidRPr="00BC5EAC">
              <w:t xml:space="preserve">Complaints due by </w:t>
            </w:r>
            <w:r w:rsidRPr="00BC5EAC">
              <w:rPr>
                <w:b/>
                <w:bCs/>
              </w:rPr>
              <w:t>12:00 p.m.</w:t>
            </w:r>
            <w:r w:rsidRPr="00BC5EAC">
              <w:t xml:space="preserve"> Olympia, WA Time </w:t>
            </w:r>
          </w:p>
        </w:tc>
      </w:tr>
      <w:tr w:rsidR="00B82DA4" w:rsidRPr="00392575" w14:paraId="3813EC52" w14:textId="77777777" w:rsidTr="00BC5EAC">
        <w:tc>
          <w:tcPr>
            <w:tcW w:w="2264" w:type="dxa"/>
            <w:tcBorders>
              <w:bottom w:val="single" w:sz="4" w:space="0" w:color="auto"/>
            </w:tcBorders>
            <w:shd w:val="clear" w:color="auto" w:fill="auto"/>
            <w:hideMark/>
          </w:tcPr>
          <w:p w14:paraId="2C84D514" w14:textId="32FBAFBA" w:rsidR="00B82DA4" w:rsidRPr="00BC5EAC" w:rsidRDefault="001838C6" w:rsidP="00B82DA4">
            <w:pPr>
              <w:spacing w:before="216" w:after="72"/>
              <w:jc w:val="center"/>
              <w:rPr>
                <w:rFonts w:eastAsiaTheme="minorEastAsia"/>
              </w:rPr>
            </w:pPr>
            <w:r>
              <w:rPr>
                <w:rFonts w:eastAsiaTheme="minorHAnsi"/>
              </w:rPr>
              <w:t>04/</w:t>
            </w:r>
            <w:r w:rsidR="00FB46ED">
              <w:rPr>
                <w:rFonts w:eastAsiaTheme="minorHAnsi"/>
              </w:rPr>
              <w:t>16</w:t>
            </w:r>
            <w:r w:rsidR="00B82DA4" w:rsidRPr="00BC5EAC">
              <w:rPr>
                <w:rFonts w:eastAsiaTheme="minorHAnsi"/>
              </w:rPr>
              <w:t>/2025</w:t>
            </w:r>
          </w:p>
        </w:tc>
        <w:tc>
          <w:tcPr>
            <w:tcW w:w="5561" w:type="dxa"/>
            <w:shd w:val="clear" w:color="auto" w:fill="auto"/>
            <w:hideMark/>
          </w:tcPr>
          <w:p w14:paraId="7EEF2964" w14:textId="7AAB35CD" w:rsidR="00B82DA4" w:rsidRPr="00BC5EAC" w:rsidRDefault="00B82DA4" w:rsidP="00B82DA4">
            <w:pPr>
              <w:spacing w:before="216" w:after="72"/>
              <w:rPr>
                <w:rFonts w:ascii="Calibri" w:eastAsiaTheme="minorEastAsia" w:hAnsi="Calibri"/>
              </w:rPr>
            </w:pPr>
            <w:r w:rsidRPr="00BC5EAC">
              <w:t xml:space="preserve">Bid Responses due by </w:t>
            </w:r>
            <w:r w:rsidRPr="00BC5EAC">
              <w:rPr>
                <w:b/>
                <w:bCs/>
              </w:rPr>
              <w:t>12:00 p.m.</w:t>
            </w:r>
            <w:r w:rsidRPr="00BC5EAC">
              <w:t xml:space="preserve"> Olympia, WA Time</w:t>
            </w:r>
          </w:p>
        </w:tc>
      </w:tr>
      <w:tr w:rsidR="00B82DA4" w:rsidRPr="006553B6" w14:paraId="030E6A80" w14:textId="77777777" w:rsidTr="00BC5EAC">
        <w:tc>
          <w:tcPr>
            <w:tcW w:w="2264" w:type="dxa"/>
            <w:tcBorders>
              <w:bottom w:val="single" w:sz="4" w:space="0" w:color="auto"/>
            </w:tcBorders>
            <w:shd w:val="clear" w:color="auto" w:fill="auto"/>
          </w:tcPr>
          <w:p w14:paraId="6F5DDD87" w14:textId="47E6A7A6" w:rsidR="00B82DA4" w:rsidRPr="00BC5EAC" w:rsidRDefault="001838C6" w:rsidP="00B82DA4">
            <w:pPr>
              <w:spacing w:before="216" w:after="72"/>
              <w:jc w:val="center"/>
              <w:rPr>
                <w:rFonts w:eastAsiaTheme="minorEastAsia"/>
              </w:rPr>
            </w:pPr>
            <w:r>
              <w:rPr>
                <w:rFonts w:eastAsiaTheme="minorHAnsi"/>
              </w:rPr>
              <w:lastRenderedPageBreak/>
              <w:t>04/</w:t>
            </w:r>
            <w:r w:rsidR="00FB46ED">
              <w:rPr>
                <w:rFonts w:eastAsiaTheme="minorHAnsi"/>
              </w:rPr>
              <w:t>23</w:t>
            </w:r>
            <w:r w:rsidR="009D3B8D">
              <w:rPr>
                <w:rFonts w:eastAsiaTheme="minorHAnsi"/>
              </w:rPr>
              <w:t>/</w:t>
            </w:r>
            <w:r w:rsidR="00B82DA4" w:rsidRPr="00BC5EAC">
              <w:rPr>
                <w:rFonts w:eastAsiaTheme="minorHAnsi"/>
              </w:rPr>
              <w:t>2025</w:t>
            </w:r>
          </w:p>
        </w:tc>
        <w:tc>
          <w:tcPr>
            <w:tcW w:w="5561" w:type="dxa"/>
            <w:tcBorders>
              <w:bottom w:val="single" w:sz="4" w:space="0" w:color="auto"/>
            </w:tcBorders>
            <w:shd w:val="clear" w:color="auto" w:fill="auto"/>
            <w:hideMark/>
          </w:tcPr>
          <w:p w14:paraId="7F0878C7" w14:textId="77777777" w:rsidR="00B82DA4" w:rsidRPr="00BC5EAC" w:rsidRDefault="00B82DA4" w:rsidP="00B82DA4">
            <w:pPr>
              <w:spacing w:before="216" w:after="72"/>
              <w:rPr>
                <w:rFonts w:ascii="Calibri" w:eastAsiaTheme="minorHAnsi" w:hAnsi="Calibri"/>
              </w:rPr>
            </w:pPr>
            <w:r w:rsidRPr="00BC5EAC">
              <w:t>Announcement of Apparently Successful Vendor(s)</w:t>
            </w:r>
          </w:p>
        </w:tc>
      </w:tr>
      <w:tr w:rsidR="00B82DA4" w:rsidRPr="006553B6" w14:paraId="519C08F9" w14:textId="77777777" w:rsidTr="00BC5EAC">
        <w:tc>
          <w:tcPr>
            <w:tcW w:w="2264" w:type="dxa"/>
            <w:tcBorders>
              <w:bottom w:val="single" w:sz="4" w:space="0" w:color="auto"/>
              <w:right w:val="single" w:sz="4" w:space="0" w:color="auto"/>
            </w:tcBorders>
            <w:shd w:val="clear" w:color="auto" w:fill="auto"/>
          </w:tcPr>
          <w:p w14:paraId="5B185BE2" w14:textId="487D77AD" w:rsidR="00B82DA4" w:rsidRPr="00BC5EAC" w:rsidRDefault="001838C6" w:rsidP="00B82DA4">
            <w:pPr>
              <w:spacing w:before="216" w:after="72"/>
              <w:jc w:val="center"/>
              <w:rPr>
                <w:rFonts w:eastAsiaTheme="minorEastAsia"/>
              </w:rPr>
            </w:pPr>
            <w:r>
              <w:rPr>
                <w:rFonts w:eastAsiaTheme="minorHAnsi"/>
              </w:rPr>
              <w:t>04/</w:t>
            </w:r>
            <w:r w:rsidR="00FB46ED">
              <w:rPr>
                <w:rFonts w:eastAsiaTheme="minorHAnsi"/>
              </w:rPr>
              <w:t>24</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5089CD76" w14:textId="2579FB23" w:rsidR="00B82DA4" w:rsidRPr="00BC5EAC" w:rsidRDefault="00B82DA4" w:rsidP="00B82DA4">
            <w:pPr>
              <w:spacing w:before="216" w:after="72"/>
              <w:rPr>
                <w:rFonts w:ascii="Calibri" w:eastAsiaTheme="minorEastAsia" w:hAnsi="Calibri"/>
              </w:rPr>
            </w:pPr>
            <w:r w:rsidRPr="00BC5EAC">
              <w:t xml:space="preserve">Contractor Request for Optional Debriefing due by </w:t>
            </w:r>
            <w:r w:rsidRPr="00BC5EAC">
              <w:rPr>
                <w:b/>
                <w:bCs/>
              </w:rPr>
              <w:t xml:space="preserve">12:00 p.m. </w:t>
            </w:r>
            <w:r w:rsidRPr="00BC5EAC">
              <w:t>Olympia, WA Time</w:t>
            </w:r>
          </w:p>
        </w:tc>
      </w:tr>
      <w:tr w:rsidR="00B82DA4" w:rsidRPr="006553B6" w14:paraId="73A80FCD" w14:textId="77777777" w:rsidTr="00BC5EAC">
        <w:tc>
          <w:tcPr>
            <w:tcW w:w="2264" w:type="dxa"/>
            <w:tcBorders>
              <w:top w:val="single" w:sz="4" w:space="0" w:color="auto"/>
              <w:right w:val="single" w:sz="4" w:space="0" w:color="auto"/>
            </w:tcBorders>
            <w:shd w:val="clear" w:color="auto" w:fill="auto"/>
          </w:tcPr>
          <w:p w14:paraId="6A1121E1" w14:textId="5DF95134" w:rsidR="00B82DA4" w:rsidRPr="00BC5EAC" w:rsidRDefault="001838C6" w:rsidP="00B82DA4">
            <w:pPr>
              <w:spacing w:before="216" w:after="72"/>
              <w:jc w:val="center"/>
              <w:rPr>
                <w:rFonts w:eastAsiaTheme="minorEastAsia"/>
              </w:rPr>
            </w:pPr>
            <w:r>
              <w:rPr>
                <w:rFonts w:eastAsiaTheme="minorHAnsi"/>
              </w:rPr>
              <w:t>04/</w:t>
            </w:r>
            <w:r w:rsidR="00FB46ED">
              <w:rPr>
                <w:rFonts w:eastAsiaTheme="minorHAnsi"/>
              </w:rPr>
              <w:t>25</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2E4DA462" w14:textId="77777777" w:rsidR="00B82DA4" w:rsidRPr="006553B6" w:rsidRDefault="00B82DA4" w:rsidP="00B82DA4">
            <w:pPr>
              <w:spacing w:before="216" w:after="72"/>
              <w:rPr>
                <w:rFonts w:ascii="Calibri" w:eastAsiaTheme="minorHAnsi" w:hAnsi="Calibri"/>
              </w:rPr>
            </w:pPr>
            <w:r w:rsidRPr="006553B6">
              <w:t>Optional Contractor Debriefing</w:t>
            </w:r>
          </w:p>
        </w:tc>
      </w:tr>
      <w:tr w:rsidR="00B82DA4" w:rsidRPr="00392575" w14:paraId="275811E8" w14:textId="77777777" w:rsidTr="00BC5EAC">
        <w:tc>
          <w:tcPr>
            <w:tcW w:w="2264" w:type="dxa"/>
            <w:tcBorders>
              <w:right w:val="single" w:sz="4" w:space="0" w:color="auto"/>
            </w:tcBorders>
            <w:shd w:val="clear" w:color="auto" w:fill="auto"/>
          </w:tcPr>
          <w:p w14:paraId="11732143" w14:textId="7616F05C" w:rsidR="00B82DA4" w:rsidRPr="00BC5EAC" w:rsidRDefault="009D3B8D" w:rsidP="00B82DA4">
            <w:pPr>
              <w:spacing w:before="216" w:after="72"/>
              <w:jc w:val="center"/>
              <w:rPr>
                <w:rFonts w:eastAsiaTheme="minorEastAsia"/>
              </w:rPr>
            </w:pPr>
            <w:r>
              <w:rPr>
                <w:rFonts w:eastAsiaTheme="minorHAnsi"/>
              </w:rPr>
              <w:t>04/</w:t>
            </w:r>
            <w:r w:rsidR="00FB46ED">
              <w:rPr>
                <w:rFonts w:eastAsiaTheme="minorHAnsi"/>
              </w:rPr>
              <w:t>30</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08CFCF80" w14:textId="7DAEC250" w:rsidR="00B82DA4" w:rsidRPr="00392575" w:rsidRDefault="00B82DA4" w:rsidP="00B82DA4">
            <w:pPr>
              <w:spacing w:before="216" w:after="72"/>
              <w:rPr>
                <w:rFonts w:ascii="Calibri" w:eastAsiaTheme="minorHAnsi" w:hAnsi="Calibri"/>
              </w:rPr>
            </w:pPr>
            <w:r>
              <w:t>Earliest e</w:t>
            </w:r>
            <w:r w:rsidRPr="00392575">
              <w:t xml:space="preserve">xpected date to </w:t>
            </w:r>
            <w:r>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5A4D08D2" w14:textId="77777777" w:rsidR="007B092E" w:rsidRDefault="007B092E" w:rsidP="0011005B">
      <w:pPr>
        <w:spacing w:before="120"/>
        <w:ind w:left="720"/>
      </w:pPr>
    </w:p>
    <w:p w14:paraId="56498CF4" w14:textId="77777777" w:rsidR="001711BB" w:rsidRDefault="001711BB" w:rsidP="0011005B">
      <w:pPr>
        <w:spacing w:before="120"/>
        <w:ind w:left="720"/>
      </w:pPr>
    </w:p>
    <w:p w14:paraId="547BF0BD" w14:textId="77777777" w:rsidR="001711BB" w:rsidRDefault="001711BB" w:rsidP="0011005B">
      <w:pPr>
        <w:spacing w:before="120"/>
        <w:ind w:left="720"/>
      </w:pPr>
    </w:p>
    <w:p w14:paraId="7D58726F" w14:textId="77777777" w:rsidR="001711BB" w:rsidRDefault="001711BB" w:rsidP="0011005B">
      <w:pPr>
        <w:spacing w:before="120"/>
        <w:ind w:left="720"/>
      </w:pPr>
    </w:p>
    <w:p w14:paraId="1D506274" w14:textId="77777777" w:rsidR="001711BB" w:rsidRDefault="001711BB" w:rsidP="0011005B">
      <w:pPr>
        <w:spacing w:before="120"/>
        <w:ind w:left="720"/>
      </w:pPr>
    </w:p>
    <w:p w14:paraId="7015B507" w14:textId="0A0FE896" w:rsidR="0011005B" w:rsidRDefault="0011005B" w:rsidP="0011005B">
      <w:pPr>
        <w:spacing w:before="120"/>
        <w:ind w:left="720"/>
      </w:pPr>
      <w:r w:rsidRPr="009F382D">
        <w:t xml:space="preserve">This Schedule is subject to change by </w:t>
      </w:r>
      <w:r w:rsidR="0060744C">
        <w:t>WaTech</w:t>
      </w:r>
      <w:r w:rsidRPr="009F382D">
        <w:t>.  Late proposals will not be accepted and shall automatically be disqualified from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bookmarkStart w:id="1" w:name="_Hlk187401396"/>
      <w:r>
        <w:t>*If no Contractors are on the Pre</w:t>
      </w:r>
      <w:r w:rsidR="0031798C">
        <w:t>-</w:t>
      </w:r>
      <w:r>
        <w:t>proposal Conference within the first five (5) minutes of the scheduled time, the meeting will end</w:t>
      </w:r>
      <w:r w:rsidR="007E4DB8">
        <w:t xml:space="preserve">. </w:t>
      </w:r>
      <w:bookmarkStart w:id="2" w:name="_Hlk144276558"/>
    </w:p>
    <w:bookmarkEnd w:id="2"/>
    <w:bookmarkEnd w:id="0"/>
    <w:bookmarkEnd w:id="1"/>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in order to provide </w:t>
      </w:r>
      <w:r w:rsidR="0060744C">
        <w:t>WaTech</w:t>
      </w:r>
      <w:r w:rsidR="00752512">
        <w:t xml:space="preserve"> with an opportunity to take any necessary action. </w:t>
      </w:r>
      <w:r w:rsidR="0017124D">
        <w:t xml:space="preserve">Identification of these sites will result in a </w:t>
      </w:r>
      <w:r w:rsidR="00D83509">
        <w:t>Question and Answer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8"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3"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4AE12AE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w:t>
      </w:r>
      <w:r w:rsidR="00D84088">
        <w:t>Network Services Agreement</w:t>
      </w:r>
      <w:r w:rsidR="0019190A">
        <w:t xml:space="preserve"> in order to be eligible to submit a response to the RFQ. The purpose of 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4F9209C9" w:rsidR="0019190A" w:rsidRDefault="0019190A" w:rsidP="0019190A">
      <w:pPr>
        <w:ind w:left="720"/>
      </w:pPr>
      <w:r>
        <w:t xml:space="preserve">Contractors seeking an </w:t>
      </w:r>
      <w:r w:rsidR="00D84088">
        <w:t>NSA</w:t>
      </w:r>
      <w:r>
        <w:t xml:space="preserve"> should reach out to the RFQ Coordinator separately for more information on the program. </w:t>
      </w:r>
      <w:r w:rsidRPr="000D0484">
        <w:rPr>
          <w:b/>
          <w:bCs/>
        </w:rPr>
        <w:t xml:space="preserve">Questions about the </w:t>
      </w:r>
      <w:r w:rsidR="00D84088">
        <w:rPr>
          <w:b/>
          <w:bCs/>
        </w:rPr>
        <w:t>NSA</w:t>
      </w:r>
      <w:r w:rsidRPr="000D0484">
        <w:rPr>
          <w:b/>
          <w:bCs/>
        </w:rPr>
        <w:t xml:space="preserve"> program will not be answered during the pre-proposal conference.</w:t>
      </w:r>
      <w:r>
        <w:t xml:space="preserve">  </w:t>
      </w:r>
    </w:p>
    <w:bookmarkEnd w:id="3"/>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any and all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5F3BA8CE" w:rsidR="00DD46A5" w:rsidRPr="009F382D" w:rsidRDefault="0017124D" w:rsidP="008A5005">
      <w:pPr>
        <w:spacing w:before="108"/>
        <w:ind w:left="720" w:right="288"/>
        <w:jc w:val="both"/>
      </w:pPr>
      <w:r>
        <w:t xml:space="preserve">Only those </w:t>
      </w:r>
      <w:r w:rsidR="004C3649">
        <w:t>Contractor</w:t>
      </w:r>
      <w:r>
        <w:t xml:space="preserve">s who meet the </w:t>
      </w:r>
      <w:r w:rsidR="00D84088">
        <w:t>NSA</w:t>
      </w:r>
      <w:r>
        <w:t xml:space="preserve">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20AD5938" w:rsidR="00FB2FAA" w:rsidRPr="005A721C" w:rsidRDefault="00FB2FAA" w:rsidP="00FB2FAA">
      <w:pPr>
        <w:pStyle w:val="Textbodyindent"/>
        <w:rPr>
          <w:sz w:val="24"/>
        </w:rPr>
      </w:pPr>
      <w:r w:rsidRPr="005A721C">
        <w:rPr>
          <w:sz w:val="24"/>
        </w:rPr>
        <w:lastRenderedPageBreak/>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In the event that </w:t>
      </w:r>
      <w:r w:rsidR="00683AC6">
        <w:rPr>
          <w:sz w:val="24"/>
        </w:rPr>
        <w:t>a</w:t>
      </w:r>
      <w:r w:rsidRPr="005A721C">
        <w:rPr>
          <w:sz w:val="24"/>
        </w:rPr>
        <w:t xml:space="preserve"> condition occurs which causes an ASV to be declared </w:t>
      </w:r>
      <w:r w:rsidR="00683AC6">
        <w:rPr>
          <w:sz w:val="24"/>
        </w:rPr>
        <w:t xml:space="preserve">disqualified or ineligible to enter the SOW based on restrictions in the </w:t>
      </w:r>
      <w:r w:rsidR="00D84088">
        <w:rPr>
          <w:sz w:val="24"/>
        </w:rPr>
        <w:t>NSA</w:t>
      </w:r>
      <w:r w:rsidR="00683AC6">
        <w:rPr>
          <w:sz w:val="24"/>
        </w:rPr>
        <w:t xml:space="preserve">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thirty minute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’s performance with regard to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4" w:name="_Toc315776364"/>
      <w:bookmarkStart w:id="5" w:name="_Toc318706906"/>
      <w:bookmarkStart w:id="6" w:name="_Toc318783655"/>
      <w:bookmarkStart w:id="7" w:name="_Toc318784094"/>
      <w:bookmarkStart w:id="8" w:name="_Toc318886121"/>
      <w:bookmarkStart w:id="9" w:name="_Toc319121586"/>
      <w:bookmarkStart w:id="10" w:name="_Toc319128031"/>
      <w:bookmarkStart w:id="11" w:name="_Toc349108666"/>
      <w:bookmarkStart w:id="12" w:name="_Toc349465206"/>
      <w:bookmarkStart w:id="13" w:name="_Toc349467959"/>
      <w:bookmarkStart w:id="14" w:name="_Toc349468067"/>
      <w:bookmarkStart w:id="15" w:name="_Toc349468987"/>
      <w:bookmarkStart w:id="16" w:name="_Toc350239105"/>
      <w:bookmarkStart w:id="17" w:name="_Toc350332445"/>
      <w:bookmarkStart w:id="18" w:name="_Toc350859522"/>
      <w:bookmarkStart w:id="19" w:name="_Toc352044206"/>
      <w:bookmarkStart w:id="20" w:name="_Toc352044829"/>
      <w:bookmarkStart w:id="21" w:name="_Toc353004939"/>
      <w:bookmarkStart w:id="22" w:name="_Toc353008548"/>
      <w:bookmarkStart w:id="23" w:name="_Toc353596854"/>
      <w:bookmarkStart w:id="24" w:name="_Toc353622379"/>
      <w:bookmarkStart w:id="25" w:name="_Toc353623117"/>
      <w:bookmarkStart w:id="26" w:name="_Toc353623265"/>
      <w:bookmarkStart w:id="27" w:name="_Toc353674240"/>
      <w:bookmarkStart w:id="28" w:name="_Toc354914703"/>
      <w:bookmarkStart w:id="29" w:name="_Toc354971030"/>
      <w:bookmarkStart w:id="30" w:name="_Toc354971418"/>
      <w:bookmarkStart w:id="31" w:name="_Toc355085242"/>
      <w:bookmarkStart w:id="32" w:name="_Toc355407834"/>
      <w:bookmarkStart w:id="33" w:name="_Toc357522179"/>
      <w:bookmarkStart w:id="34" w:name="_Toc369571856"/>
      <w:bookmarkStart w:id="35" w:name="_Toc369588460"/>
      <w:bookmarkStart w:id="36" w:name="_Toc369596545"/>
      <w:bookmarkStart w:id="37" w:name="_Toc369597141"/>
      <w:bookmarkStart w:id="38" w:name="_Toc369602496"/>
      <w:bookmarkStart w:id="39" w:name="_Toc369937707"/>
      <w:bookmarkStart w:id="40" w:name="_Toc386861117"/>
      <w:bookmarkStart w:id="41" w:name="_Toc416055541"/>
      <w:bookmarkStart w:id="42" w:name="_Toc433773478"/>
      <w:bookmarkStart w:id="43" w:name="_Toc443794617"/>
      <w:bookmarkStart w:id="44" w:name="_Toc59620247"/>
      <w:bookmarkStart w:id="45" w:name="_Toc349136777"/>
      <w:r w:rsidRPr="00FE0EDA">
        <w:rPr>
          <w:b/>
          <w:bCs/>
        </w:rPr>
        <w:t>Protest Procedures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any and all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06AFF4B"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 xml:space="preserve">the delivery of the requested service as per the governing </w:t>
      </w:r>
      <w:r w:rsidR="00D84088">
        <w:t>NSA</w:t>
      </w:r>
      <w:r w:rsidR="00901610">
        <w:t>,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lastRenderedPageBreak/>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90 day period. </w:t>
      </w:r>
      <w:r w:rsidR="0060744C">
        <w:rPr>
          <w:b/>
          <w:i/>
        </w:rPr>
        <w:t>WaTech</w:t>
      </w:r>
      <w:r w:rsidR="00FE0EDA" w:rsidRPr="00FE0EDA">
        <w:rPr>
          <w:b/>
          <w:i/>
        </w:rPr>
        <w:t xml:space="preserve"> reserves the right to cancel an award where evaluation errors are realized subsequent to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bid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r w:rsidRPr="006959C1">
        <w:t xml:space="preserve">Contractor shall be required to submit a signed statement confirming that each employee providing services to </w:t>
      </w:r>
      <w:r w:rsidR="0060744C">
        <w:t>WaTech</w:t>
      </w:r>
      <w:r w:rsidRPr="006959C1">
        <w:t xml:space="preserve"> has successfully completed the required background check. Contractor’s failure to comply in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lastRenderedPageBreak/>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r w:rsidR="00D32DBC">
        <w:rPr>
          <w:sz w:val="24"/>
          <w:szCs w:val="24"/>
        </w:rPr>
        <w:t xml:space="preserve">In the event that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D894947" w:rsidR="00D23DDD" w:rsidRDefault="00FB2FAA" w:rsidP="00E63DFF">
      <w:pPr>
        <w:pStyle w:val="Heading1para"/>
        <w:rPr>
          <w:sz w:val="24"/>
          <w:szCs w:val="24"/>
        </w:rPr>
      </w:pPr>
      <w:r w:rsidRPr="00E63DFF">
        <w:rPr>
          <w:sz w:val="24"/>
          <w:szCs w:val="24"/>
        </w:rPr>
        <w:t xml:space="preserve">Per the </w:t>
      </w:r>
      <w:r w:rsidR="00D84088">
        <w:rPr>
          <w:sz w:val="24"/>
          <w:szCs w:val="24"/>
        </w:rPr>
        <w:t>Network</w:t>
      </w:r>
      <w:r w:rsidRPr="00E63DFF">
        <w:rPr>
          <w:sz w:val="24"/>
          <w:szCs w:val="24"/>
        </w:rPr>
        <w:t xml:space="preserve">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site by site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5"/>
      <w:r w:rsidRPr="00465BF7">
        <w:rPr>
          <w:b/>
          <w:bCs/>
        </w:rPr>
        <w:t>Financial Grounds for Disqualification</w:t>
      </w:r>
      <w:bookmarkEnd w:id="46"/>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7" w:name="_Toc328065296"/>
      <w:r w:rsidRPr="00465BF7">
        <w:rPr>
          <w:b/>
          <w:bCs/>
        </w:rPr>
        <w:t>Taxes</w:t>
      </w:r>
      <w:bookmarkEnd w:id="47"/>
    </w:p>
    <w:p w14:paraId="1A7E00B1" w14:textId="77777777" w:rsidR="00465BF7" w:rsidRPr="00465BF7" w:rsidRDefault="004C3649" w:rsidP="00465BF7">
      <w:pPr>
        <w:widowControl/>
        <w:autoSpaceDE/>
        <w:autoSpaceDN/>
        <w:spacing w:before="120"/>
        <w:ind w:left="720"/>
      </w:pPr>
      <w:r>
        <w:lastRenderedPageBreak/>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8"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9" w:name="_Ref87693445"/>
      <w:bookmarkStart w:id="50" w:name="_Toc328065303"/>
      <w:bookmarkEnd w:id="48"/>
      <w:r w:rsidRPr="00465BF7">
        <w:rPr>
          <w:b/>
          <w:bCs/>
        </w:rPr>
        <w:t xml:space="preserve">Completion of </w:t>
      </w:r>
      <w:r w:rsidR="00D83509">
        <w:rPr>
          <w:b/>
          <w:bCs/>
        </w:rPr>
        <w:t>Cost</w:t>
      </w:r>
      <w:r w:rsidR="00D83509" w:rsidRPr="00465BF7">
        <w:rPr>
          <w:b/>
          <w:bCs/>
        </w:rPr>
        <w:t xml:space="preserve"> </w:t>
      </w:r>
      <w:r w:rsidRPr="00465BF7">
        <w:rPr>
          <w:b/>
          <w:bCs/>
        </w:rPr>
        <w:t>Model</w:t>
      </w:r>
      <w:bookmarkEnd w:id="49"/>
      <w:bookmarkEnd w:id="50"/>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way </w:t>
      </w:r>
      <w:r w:rsidR="00F009E4" w:rsidRPr="002D4067">
        <w:rPr>
          <w:b/>
          <w:u w:val="single"/>
        </w:rPr>
        <w:t xml:space="preserve"> any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compete, and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31D7082E" w14:textId="77777777" w:rsidR="00B82DA4" w:rsidRDefault="00B82DA4" w:rsidP="00B82DA4">
      <w:pPr>
        <w:pStyle w:val="ListParagraph"/>
        <w:numPr>
          <w:ilvl w:val="0"/>
          <w:numId w:val="22"/>
        </w:numPr>
      </w:pPr>
      <w:bookmarkStart w:id="51" w:name="_Hlk191018712"/>
      <w:r>
        <w:t>(MS) Contractor’s proposed shorter Guaranteed Install Interval</w:t>
      </w:r>
    </w:p>
    <w:p w14:paraId="21619CD0" w14:textId="77777777" w:rsidR="00B82DA4" w:rsidRDefault="00B82DA4" w:rsidP="00B82DA4">
      <w:pPr>
        <w:pStyle w:val="ListParagraph"/>
      </w:pPr>
    </w:p>
    <w:p w14:paraId="38C991B5" w14:textId="48CBABB3" w:rsidR="00B82DA4" w:rsidRDefault="00B82DA4" w:rsidP="00B82DA4">
      <w:pPr>
        <w:pStyle w:val="Style1"/>
        <w:numPr>
          <w:ilvl w:val="0"/>
          <w:numId w:val="23"/>
        </w:numPr>
        <w:spacing w:before="0"/>
        <w:ind w:right="144"/>
        <w:rPr>
          <w:sz w:val="24"/>
        </w:rPr>
      </w:pPr>
      <w:bookmarkStart w:id="52" w:name="_Hlk187388281"/>
      <w:r>
        <w:rPr>
          <w:sz w:val="24"/>
        </w:rPr>
        <w:t>In the event a shorter Installation Interval can be met, please enter the number of calendar days Contractor can guarantee installation.  If a zero (“0”) is entered, WaTech will assume Contractor can deliver the circuit the same day the Technical Order is sent electronically by WaTech staff.</w:t>
      </w:r>
    </w:p>
    <w:p w14:paraId="27E7A4CC" w14:textId="5970DC5C" w:rsidR="00B82DA4" w:rsidRPr="006959C1" w:rsidRDefault="00B82DA4" w:rsidP="00B82DA4">
      <w:pPr>
        <w:pStyle w:val="Style1"/>
        <w:numPr>
          <w:ilvl w:val="0"/>
          <w:numId w:val="23"/>
        </w:numPr>
        <w:spacing w:before="0"/>
        <w:ind w:right="144"/>
        <w:rPr>
          <w:sz w:val="24"/>
        </w:rPr>
      </w:pPr>
      <w:r w:rsidRPr="006959C1">
        <w:rPr>
          <w:sz w:val="24"/>
        </w:rPr>
        <w:t xml:space="preserve">In the event a shorter Installation Interval cannot be met, </w:t>
      </w:r>
      <w:r>
        <w:rPr>
          <w:sz w:val="24"/>
        </w:rPr>
        <w:t>Contractor</w:t>
      </w:r>
      <w:r w:rsidRPr="006959C1">
        <w:rPr>
          <w:sz w:val="24"/>
        </w:rPr>
        <w:t xml:space="preserve"> shall indicate such by entering </w:t>
      </w:r>
      <w:r>
        <w:rPr>
          <w:sz w:val="24"/>
        </w:rPr>
        <w:t>“</w:t>
      </w:r>
      <w:r w:rsidRPr="006959C1">
        <w:rPr>
          <w:sz w:val="24"/>
        </w:rPr>
        <w:t>n/a</w:t>
      </w:r>
      <w:r>
        <w:rPr>
          <w:sz w:val="24"/>
        </w:rPr>
        <w:t>”</w:t>
      </w:r>
      <w:r w:rsidRPr="006959C1">
        <w:rPr>
          <w:sz w:val="24"/>
        </w:rPr>
        <w:t xml:space="preserve"> into the column. </w:t>
      </w:r>
      <w:r>
        <w:rPr>
          <w:sz w:val="24"/>
        </w:rPr>
        <w:t xml:space="preserve"> If this column is left blank, WaTech will assume Contractor did not intend to propose a shorter Installation Interval. </w:t>
      </w:r>
    </w:p>
    <w:bookmarkEnd w:id="52"/>
    <w:bookmarkEnd w:id="51"/>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3"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w:lastRenderedPageBreak/>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p w14:paraId="5E4B364F" w14:textId="77777777" w:rsidR="00C95C6E" w:rsidRDefault="00C95C6E" w:rsidP="00C95C6E">
      <w:pPr>
        <w:ind w:left="1170"/>
      </w:pPr>
    </w:p>
    <w:bookmarkEnd w:id="53"/>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lastRenderedPageBreak/>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(e.g.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4" w:name="_Hlk270062881"/>
            <w:r w:rsidRPr="00DF37B1">
              <w:rPr>
                <w:sz w:val="22"/>
                <w:szCs w:val="22"/>
              </w:rPr>
              <w:t xml:space="preserve">Cost score + Timeline Score </w:t>
            </w:r>
            <w:r w:rsidR="00AE779F">
              <w:rPr>
                <w:sz w:val="22"/>
                <w:szCs w:val="22"/>
              </w:rPr>
              <w:t xml:space="preserve"> +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4"/>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391DD6AC" w14:textId="69148ACD" w:rsidR="00FE0EDA" w:rsidRDefault="009F382D" w:rsidP="00AD7785">
      <w:pPr>
        <w:pStyle w:val="Style1"/>
        <w:spacing w:before="216"/>
        <w:ind w:left="0"/>
        <w:jc w:val="center"/>
        <w:rPr>
          <w:sz w:val="40"/>
          <w:szCs w:val="40"/>
        </w:rPr>
      </w:pPr>
      <w:r>
        <w:rPr>
          <w:sz w:val="40"/>
          <w:szCs w:val="40"/>
        </w:rPr>
        <w:lastRenderedPageBreak/>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9"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7A2BDF60" w:rsidR="00FE0EDA" w:rsidRDefault="00FE0EDA" w:rsidP="00AD7785">
      <w:pPr>
        <w:pStyle w:val="Style1"/>
        <w:tabs>
          <w:tab w:val="left" w:pos="3181"/>
        </w:tabs>
        <w:spacing w:before="216"/>
        <w:ind w:left="0"/>
        <w:jc w:val="center"/>
        <w:rPr>
          <w:sz w:val="40"/>
          <w:szCs w:val="40"/>
        </w:rPr>
      </w:pPr>
      <w:r w:rsidRPr="00FE0EDA">
        <w:rPr>
          <w:sz w:val="40"/>
          <w:szCs w:val="40"/>
        </w:rPr>
        <w:lastRenderedPageBreak/>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38BF1854" w:rsidR="001C15EB" w:rsidRPr="00635D22" w:rsidRDefault="001C15EB" w:rsidP="001C15EB">
      <w:pPr>
        <w:spacing w:before="120"/>
        <w:rPr>
          <w:sz w:val="22"/>
          <w:szCs w:val="22"/>
        </w:rPr>
      </w:pPr>
      <w:r w:rsidRPr="00635D22">
        <w:rPr>
          <w:sz w:val="22"/>
          <w:szCs w:val="22"/>
        </w:rPr>
        <w:t>We understand that any Contract awarded, as a result of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w:t>
      </w:r>
      <w:r w:rsidR="00D84088">
        <w:rPr>
          <w:sz w:val="22"/>
          <w:szCs w:val="22"/>
        </w:rPr>
        <w:t>NSA</w:t>
      </w:r>
      <w:r w:rsidR="00683AC6" w:rsidRPr="00635D22">
        <w:rPr>
          <w:sz w:val="22"/>
          <w:szCs w:val="22"/>
        </w:rPr>
        <w:t xml:space="preserve">,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lastRenderedPageBreak/>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153EB458"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Contracts &amp; Procurement Manager, 1500 Jefferson Street SE, 5</w:t>
      </w:r>
      <w:r w:rsidRPr="07B152BB">
        <w:rPr>
          <w:vertAlign w:val="superscript"/>
        </w:rPr>
        <w:t>th</w:t>
      </w:r>
      <w:r>
        <w:t xml:space="preserve"> Floor, </w:t>
      </w:r>
      <w:r w:rsidR="78447A04">
        <w:t>Olympia, WA</w:t>
      </w:r>
      <w:r>
        <w:t xml:space="preserve"> 98501 or </w:t>
      </w:r>
      <w:hyperlink r:id="rId20">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Correcting errors and reevaluating all Responses;</w:t>
      </w:r>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with a one year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r>
        <w:rPr>
          <w:szCs w:val="22"/>
        </w:rPr>
        <w:t>one year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1"/>
      <w:footerReference w:type="default" r:id="rId22"/>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563E32A7"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E45FBB">
      <w:rPr>
        <w:sz w:val="20"/>
        <w:szCs w:val="20"/>
      </w:rPr>
      <w:t>25-RFQ</w:t>
    </w:r>
    <w:r w:rsidR="00BC5EAC">
      <w:rPr>
        <w:sz w:val="20"/>
        <w:szCs w:val="20"/>
      </w:rPr>
      <w:t>-02</w:t>
    </w:r>
    <w:r w:rsidR="00FB46ED">
      <w:rPr>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5E62"/>
    <w:rsid w:val="00007F7C"/>
    <w:rsid w:val="000100EE"/>
    <w:rsid w:val="00010D6F"/>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2D1C"/>
    <w:rsid w:val="00033A71"/>
    <w:rsid w:val="000348E1"/>
    <w:rsid w:val="0003571D"/>
    <w:rsid w:val="00035CD9"/>
    <w:rsid w:val="00036025"/>
    <w:rsid w:val="00044336"/>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3AE1"/>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C79C5"/>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DCD"/>
    <w:rsid w:val="0015783E"/>
    <w:rsid w:val="00164976"/>
    <w:rsid w:val="00165B77"/>
    <w:rsid w:val="00166A1D"/>
    <w:rsid w:val="00167E01"/>
    <w:rsid w:val="001711BB"/>
    <w:rsid w:val="0017124D"/>
    <w:rsid w:val="00171464"/>
    <w:rsid w:val="001716AB"/>
    <w:rsid w:val="00172F0C"/>
    <w:rsid w:val="00174404"/>
    <w:rsid w:val="001756CA"/>
    <w:rsid w:val="00176349"/>
    <w:rsid w:val="00176647"/>
    <w:rsid w:val="0018027B"/>
    <w:rsid w:val="001838C6"/>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377D"/>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57D48"/>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228"/>
    <w:rsid w:val="003418E4"/>
    <w:rsid w:val="00341FEB"/>
    <w:rsid w:val="00342D1F"/>
    <w:rsid w:val="0034424B"/>
    <w:rsid w:val="003460E1"/>
    <w:rsid w:val="00346A5F"/>
    <w:rsid w:val="00347069"/>
    <w:rsid w:val="00351A3A"/>
    <w:rsid w:val="00354D87"/>
    <w:rsid w:val="00355A67"/>
    <w:rsid w:val="003561EB"/>
    <w:rsid w:val="0036235D"/>
    <w:rsid w:val="00363051"/>
    <w:rsid w:val="00363398"/>
    <w:rsid w:val="00364DC1"/>
    <w:rsid w:val="00365FD7"/>
    <w:rsid w:val="00366CE9"/>
    <w:rsid w:val="003704A7"/>
    <w:rsid w:val="00372ED4"/>
    <w:rsid w:val="00372F9F"/>
    <w:rsid w:val="0037305D"/>
    <w:rsid w:val="003739AF"/>
    <w:rsid w:val="00373AE6"/>
    <w:rsid w:val="00374B67"/>
    <w:rsid w:val="00374DC1"/>
    <w:rsid w:val="00380047"/>
    <w:rsid w:val="003806E6"/>
    <w:rsid w:val="00382388"/>
    <w:rsid w:val="00382483"/>
    <w:rsid w:val="0038289A"/>
    <w:rsid w:val="003844E5"/>
    <w:rsid w:val="00384A77"/>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4DA"/>
    <w:rsid w:val="003F1973"/>
    <w:rsid w:val="003F32EC"/>
    <w:rsid w:val="003F4CF0"/>
    <w:rsid w:val="003F57CE"/>
    <w:rsid w:val="003F5960"/>
    <w:rsid w:val="003F5C24"/>
    <w:rsid w:val="003F78A4"/>
    <w:rsid w:val="003F7EEB"/>
    <w:rsid w:val="00400253"/>
    <w:rsid w:val="00400940"/>
    <w:rsid w:val="00401293"/>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26C89"/>
    <w:rsid w:val="0043083F"/>
    <w:rsid w:val="004311E1"/>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B7A"/>
    <w:rsid w:val="004C30EB"/>
    <w:rsid w:val="004C3649"/>
    <w:rsid w:val="004C428B"/>
    <w:rsid w:val="004C4B7E"/>
    <w:rsid w:val="004C64A7"/>
    <w:rsid w:val="004D12CA"/>
    <w:rsid w:val="004D1FA9"/>
    <w:rsid w:val="004D3DC8"/>
    <w:rsid w:val="004D3E24"/>
    <w:rsid w:val="004D4F14"/>
    <w:rsid w:val="004D617E"/>
    <w:rsid w:val="004D6D13"/>
    <w:rsid w:val="004D7F61"/>
    <w:rsid w:val="004E037F"/>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5A85"/>
    <w:rsid w:val="0055799B"/>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56D"/>
    <w:rsid w:val="005A66ED"/>
    <w:rsid w:val="005A72EC"/>
    <w:rsid w:val="005A7987"/>
    <w:rsid w:val="005B0E72"/>
    <w:rsid w:val="005B1159"/>
    <w:rsid w:val="005B1E68"/>
    <w:rsid w:val="005B2452"/>
    <w:rsid w:val="005B33E8"/>
    <w:rsid w:val="005B4AD1"/>
    <w:rsid w:val="005B6639"/>
    <w:rsid w:val="005B753E"/>
    <w:rsid w:val="005B75EA"/>
    <w:rsid w:val="005B776C"/>
    <w:rsid w:val="005C11D3"/>
    <w:rsid w:val="005C18AE"/>
    <w:rsid w:val="005C29B0"/>
    <w:rsid w:val="005C44C3"/>
    <w:rsid w:val="005C5396"/>
    <w:rsid w:val="005C6419"/>
    <w:rsid w:val="005C7230"/>
    <w:rsid w:val="005D0C4A"/>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60960"/>
    <w:rsid w:val="00660EDE"/>
    <w:rsid w:val="0066125B"/>
    <w:rsid w:val="0066128D"/>
    <w:rsid w:val="00661B1A"/>
    <w:rsid w:val="0066588D"/>
    <w:rsid w:val="006669DE"/>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739"/>
    <w:rsid w:val="006B2ADB"/>
    <w:rsid w:val="006B489A"/>
    <w:rsid w:val="006B63EF"/>
    <w:rsid w:val="006C1C05"/>
    <w:rsid w:val="006C2B70"/>
    <w:rsid w:val="006C39EB"/>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6445"/>
    <w:rsid w:val="006F7744"/>
    <w:rsid w:val="007015C0"/>
    <w:rsid w:val="007019DB"/>
    <w:rsid w:val="00702651"/>
    <w:rsid w:val="00703A78"/>
    <w:rsid w:val="0070600B"/>
    <w:rsid w:val="00706166"/>
    <w:rsid w:val="00710B75"/>
    <w:rsid w:val="0071145A"/>
    <w:rsid w:val="007129D2"/>
    <w:rsid w:val="007155C6"/>
    <w:rsid w:val="00715CAF"/>
    <w:rsid w:val="00716149"/>
    <w:rsid w:val="0071704E"/>
    <w:rsid w:val="0072297E"/>
    <w:rsid w:val="00724881"/>
    <w:rsid w:val="00724AF6"/>
    <w:rsid w:val="007254EE"/>
    <w:rsid w:val="0072660A"/>
    <w:rsid w:val="00741459"/>
    <w:rsid w:val="007447C8"/>
    <w:rsid w:val="007457A9"/>
    <w:rsid w:val="00746503"/>
    <w:rsid w:val="00746707"/>
    <w:rsid w:val="00746B2F"/>
    <w:rsid w:val="00751CAE"/>
    <w:rsid w:val="00752512"/>
    <w:rsid w:val="007547B5"/>
    <w:rsid w:val="00755345"/>
    <w:rsid w:val="00755AB6"/>
    <w:rsid w:val="00756AA5"/>
    <w:rsid w:val="00761B12"/>
    <w:rsid w:val="007628A1"/>
    <w:rsid w:val="00762E77"/>
    <w:rsid w:val="007643D3"/>
    <w:rsid w:val="007658C0"/>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50C6"/>
    <w:rsid w:val="007953E5"/>
    <w:rsid w:val="0079545F"/>
    <w:rsid w:val="00797B21"/>
    <w:rsid w:val="007A3C5E"/>
    <w:rsid w:val="007A57B5"/>
    <w:rsid w:val="007A69FA"/>
    <w:rsid w:val="007B011A"/>
    <w:rsid w:val="007B0824"/>
    <w:rsid w:val="007B092E"/>
    <w:rsid w:val="007B0A5E"/>
    <w:rsid w:val="007B0AD6"/>
    <w:rsid w:val="007B1411"/>
    <w:rsid w:val="007B22C6"/>
    <w:rsid w:val="007B280F"/>
    <w:rsid w:val="007B31DA"/>
    <w:rsid w:val="007B3246"/>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264A1"/>
    <w:rsid w:val="00830CFB"/>
    <w:rsid w:val="0083129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08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018"/>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FD5"/>
    <w:rsid w:val="008C4D9A"/>
    <w:rsid w:val="008C6B1E"/>
    <w:rsid w:val="008C7242"/>
    <w:rsid w:val="008C77E6"/>
    <w:rsid w:val="008C7A6F"/>
    <w:rsid w:val="008D0D23"/>
    <w:rsid w:val="008D2D27"/>
    <w:rsid w:val="008D2DF9"/>
    <w:rsid w:val="008D3CA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4628"/>
    <w:rsid w:val="00947AD5"/>
    <w:rsid w:val="00947B98"/>
    <w:rsid w:val="00950043"/>
    <w:rsid w:val="00950E51"/>
    <w:rsid w:val="00953948"/>
    <w:rsid w:val="00953F0E"/>
    <w:rsid w:val="00954E89"/>
    <w:rsid w:val="00957FF4"/>
    <w:rsid w:val="009608A4"/>
    <w:rsid w:val="009608AE"/>
    <w:rsid w:val="00960E36"/>
    <w:rsid w:val="00961123"/>
    <w:rsid w:val="009625DC"/>
    <w:rsid w:val="00964640"/>
    <w:rsid w:val="00966CA2"/>
    <w:rsid w:val="00970DBF"/>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C22"/>
    <w:rsid w:val="009B3616"/>
    <w:rsid w:val="009B4731"/>
    <w:rsid w:val="009B544F"/>
    <w:rsid w:val="009B5F99"/>
    <w:rsid w:val="009B662B"/>
    <w:rsid w:val="009B6E3F"/>
    <w:rsid w:val="009B72AD"/>
    <w:rsid w:val="009B77C8"/>
    <w:rsid w:val="009C0149"/>
    <w:rsid w:val="009C1011"/>
    <w:rsid w:val="009C2E8E"/>
    <w:rsid w:val="009C422C"/>
    <w:rsid w:val="009C44B9"/>
    <w:rsid w:val="009C46D0"/>
    <w:rsid w:val="009C566E"/>
    <w:rsid w:val="009C60A7"/>
    <w:rsid w:val="009C6D36"/>
    <w:rsid w:val="009C762C"/>
    <w:rsid w:val="009C7A14"/>
    <w:rsid w:val="009C7E18"/>
    <w:rsid w:val="009D0725"/>
    <w:rsid w:val="009D1F7B"/>
    <w:rsid w:val="009D31CF"/>
    <w:rsid w:val="009D3B8D"/>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4BD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7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532C"/>
    <w:rsid w:val="00A66B66"/>
    <w:rsid w:val="00A672E6"/>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2A8"/>
    <w:rsid w:val="00AB2ED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AF7D07"/>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625C"/>
    <w:rsid w:val="00B674D7"/>
    <w:rsid w:val="00B7592D"/>
    <w:rsid w:val="00B75D4D"/>
    <w:rsid w:val="00B76596"/>
    <w:rsid w:val="00B77246"/>
    <w:rsid w:val="00B82424"/>
    <w:rsid w:val="00B82DA4"/>
    <w:rsid w:val="00B83E79"/>
    <w:rsid w:val="00B84A47"/>
    <w:rsid w:val="00B86490"/>
    <w:rsid w:val="00B9168C"/>
    <w:rsid w:val="00B94988"/>
    <w:rsid w:val="00B95809"/>
    <w:rsid w:val="00B95FB4"/>
    <w:rsid w:val="00B95FD1"/>
    <w:rsid w:val="00B9680A"/>
    <w:rsid w:val="00B9718F"/>
    <w:rsid w:val="00BA03C1"/>
    <w:rsid w:val="00BA0D46"/>
    <w:rsid w:val="00BA1424"/>
    <w:rsid w:val="00BA1510"/>
    <w:rsid w:val="00BA2AF3"/>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5EAC"/>
    <w:rsid w:val="00BC6153"/>
    <w:rsid w:val="00BC717E"/>
    <w:rsid w:val="00BC75F0"/>
    <w:rsid w:val="00BC7953"/>
    <w:rsid w:val="00BD0C95"/>
    <w:rsid w:val="00BD1A9D"/>
    <w:rsid w:val="00BD7D39"/>
    <w:rsid w:val="00BE1765"/>
    <w:rsid w:val="00BE455B"/>
    <w:rsid w:val="00BE7764"/>
    <w:rsid w:val="00BF08B0"/>
    <w:rsid w:val="00BF0F22"/>
    <w:rsid w:val="00BF16FE"/>
    <w:rsid w:val="00BF2424"/>
    <w:rsid w:val="00BF5E94"/>
    <w:rsid w:val="00BF7C2A"/>
    <w:rsid w:val="00C02F48"/>
    <w:rsid w:val="00C031DD"/>
    <w:rsid w:val="00C03271"/>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212"/>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1ED9"/>
    <w:rsid w:val="00C94695"/>
    <w:rsid w:val="00C95000"/>
    <w:rsid w:val="00C95C6E"/>
    <w:rsid w:val="00C975FF"/>
    <w:rsid w:val="00C976A0"/>
    <w:rsid w:val="00CA01B2"/>
    <w:rsid w:val="00CA06C1"/>
    <w:rsid w:val="00CA1BFA"/>
    <w:rsid w:val="00CA5D5C"/>
    <w:rsid w:val="00CA7ECB"/>
    <w:rsid w:val="00CB1575"/>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324E"/>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02B9"/>
    <w:rsid w:val="00D61092"/>
    <w:rsid w:val="00D62168"/>
    <w:rsid w:val="00D65C2C"/>
    <w:rsid w:val="00D674FB"/>
    <w:rsid w:val="00D70D8A"/>
    <w:rsid w:val="00D71A3A"/>
    <w:rsid w:val="00D72DF9"/>
    <w:rsid w:val="00D73E5D"/>
    <w:rsid w:val="00D764BD"/>
    <w:rsid w:val="00D7731C"/>
    <w:rsid w:val="00D77B53"/>
    <w:rsid w:val="00D83509"/>
    <w:rsid w:val="00D84088"/>
    <w:rsid w:val="00D84539"/>
    <w:rsid w:val="00D845F3"/>
    <w:rsid w:val="00D8503E"/>
    <w:rsid w:val="00D86F5B"/>
    <w:rsid w:val="00D87AB0"/>
    <w:rsid w:val="00D9089A"/>
    <w:rsid w:val="00D90BD8"/>
    <w:rsid w:val="00D91889"/>
    <w:rsid w:val="00D9237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24F"/>
    <w:rsid w:val="00E16C28"/>
    <w:rsid w:val="00E170DD"/>
    <w:rsid w:val="00E175B5"/>
    <w:rsid w:val="00E21AFD"/>
    <w:rsid w:val="00E21DD2"/>
    <w:rsid w:val="00E23754"/>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5F85"/>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6097"/>
    <w:rsid w:val="00EA753E"/>
    <w:rsid w:val="00EB07EF"/>
    <w:rsid w:val="00EB1CDE"/>
    <w:rsid w:val="00EB251D"/>
    <w:rsid w:val="00EB29AA"/>
    <w:rsid w:val="00EB2B62"/>
    <w:rsid w:val="00EB30A4"/>
    <w:rsid w:val="00EB326B"/>
    <w:rsid w:val="00EB60DE"/>
    <w:rsid w:val="00EB6ADD"/>
    <w:rsid w:val="00EB6CC1"/>
    <w:rsid w:val="00EC0674"/>
    <w:rsid w:val="00EC1561"/>
    <w:rsid w:val="00EC1A4A"/>
    <w:rsid w:val="00EC263F"/>
    <w:rsid w:val="00EC33AA"/>
    <w:rsid w:val="00ED023C"/>
    <w:rsid w:val="00ED42A0"/>
    <w:rsid w:val="00ED5E37"/>
    <w:rsid w:val="00ED6247"/>
    <w:rsid w:val="00ED7316"/>
    <w:rsid w:val="00EE0765"/>
    <w:rsid w:val="00EE419F"/>
    <w:rsid w:val="00EE43BF"/>
    <w:rsid w:val="00EE5B1A"/>
    <w:rsid w:val="00EE5E1A"/>
    <w:rsid w:val="00EE61A6"/>
    <w:rsid w:val="00EF1D7B"/>
    <w:rsid w:val="00EF2329"/>
    <w:rsid w:val="00EF2B4F"/>
    <w:rsid w:val="00EF30FB"/>
    <w:rsid w:val="00EF38CA"/>
    <w:rsid w:val="00EF405B"/>
    <w:rsid w:val="00EF4DE5"/>
    <w:rsid w:val="00EF5BA8"/>
    <w:rsid w:val="00EF7272"/>
    <w:rsid w:val="00F009E4"/>
    <w:rsid w:val="00F00CAD"/>
    <w:rsid w:val="00F00EA9"/>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1BCF"/>
    <w:rsid w:val="00F23F54"/>
    <w:rsid w:val="00F2428B"/>
    <w:rsid w:val="00F242D6"/>
    <w:rsid w:val="00F25476"/>
    <w:rsid w:val="00F26AB3"/>
    <w:rsid w:val="00F30626"/>
    <w:rsid w:val="00F318AB"/>
    <w:rsid w:val="00F31AD0"/>
    <w:rsid w:val="00F31D2C"/>
    <w:rsid w:val="00F34728"/>
    <w:rsid w:val="00F3584C"/>
    <w:rsid w:val="00F41718"/>
    <w:rsid w:val="00F42307"/>
    <w:rsid w:val="00F42DD3"/>
    <w:rsid w:val="00F4466D"/>
    <w:rsid w:val="00F45960"/>
    <w:rsid w:val="00F50A0E"/>
    <w:rsid w:val="00F54561"/>
    <w:rsid w:val="00F607BF"/>
    <w:rsid w:val="00F61061"/>
    <w:rsid w:val="00F61A80"/>
    <w:rsid w:val="00F623E9"/>
    <w:rsid w:val="00F62B4C"/>
    <w:rsid w:val="00F632FB"/>
    <w:rsid w:val="00F65419"/>
    <w:rsid w:val="00F72FDE"/>
    <w:rsid w:val="00F73DF0"/>
    <w:rsid w:val="00F74F95"/>
    <w:rsid w:val="00F77426"/>
    <w:rsid w:val="00F81ED7"/>
    <w:rsid w:val="00F82B00"/>
    <w:rsid w:val="00F8329B"/>
    <w:rsid w:val="00F85EA6"/>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46ED"/>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18AB"/>
    <w:rsid w:val="00FE33D4"/>
    <w:rsid w:val="00FE5795"/>
    <w:rsid w:val="00FE6404"/>
    <w:rsid w:val="00FE6470"/>
    <w:rsid w:val="00FF15E8"/>
    <w:rsid w:val="00FF2403"/>
    <w:rsid w:val="00FF3064"/>
    <w:rsid w:val="00FF3C5C"/>
    <w:rsid w:val="00FF41EB"/>
    <w:rsid w:val="00FF479C"/>
    <w:rsid w:val="00FF6A75"/>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67267476">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06698555">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231432176">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2816259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16702612">
      <w:bodyDiv w:val="1"/>
      <w:marLeft w:val="0"/>
      <w:marRight w:val="0"/>
      <w:marTop w:val="0"/>
      <w:marBottom w:val="0"/>
      <w:divBdr>
        <w:top w:val="none" w:sz="0" w:space="0" w:color="auto"/>
        <w:left w:val="none" w:sz="0" w:space="0" w:color="auto"/>
        <w:bottom w:val="none" w:sz="0" w:space="0" w:color="auto"/>
        <w:right w:val="none" w:sz="0" w:space="0" w:color="auto"/>
      </w:divBdr>
    </w:div>
    <w:div w:id="726494192">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925966778">
      <w:bodyDiv w:val="1"/>
      <w:marLeft w:val="0"/>
      <w:marRight w:val="0"/>
      <w:marTop w:val="0"/>
      <w:marBottom w:val="0"/>
      <w:divBdr>
        <w:top w:val="none" w:sz="0" w:space="0" w:color="auto"/>
        <w:left w:val="none" w:sz="0" w:space="0" w:color="auto"/>
        <w:bottom w:val="none" w:sz="0" w:space="0" w:color="auto"/>
        <w:right w:val="none" w:sz="0" w:space="0" w:color="auto"/>
      </w:divBdr>
    </w:div>
    <w:div w:id="974331552">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39496142">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0089434">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305311851">
      <w:bodyDiv w:val="1"/>
      <w:marLeft w:val="0"/>
      <w:marRight w:val="0"/>
      <w:marTop w:val="0"/>
      <w:marBottom w:val="0"/>
      <w:divBdr>
        <w:top w:val="none" w:sz="0" w:space="0" w:color="auto"/>
        <w:left w:val="none" w:sz="0" w:space="0" w:color="auto"/>
        <w:bottom w:val="none" w:sz="0" w:space="0" w:color="auto"/>
        <w:right w:val="none" w:sz="0" w:space="0" w:color="auto"/>
      </w:divBdr>
    </w:div>
    <w:div w:id="1318223171">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538545958">
      <w:bodyDiv w:val="1"/>
      <w:marLeft w:val="0"/>
      <w:marRight w:val="0"/>
      <w:marTop w:val="0"/>
      <w:marBottom w:val="0"/>
      <w:divBdr>
        <w:top w:val="none" w:sz="0" w:space="0" w:color="auto"/>
        <w:left w:val="none" w:sz="0" w:space="0" w:color="auto"/>
        <w:bottom w:val="none" w:sz="0" w:space="0" w:color="auto"/>
        <w:right w:val="none" w:sz="0" w:space="0" w:color="auto"/>
      </w:divBdr>
    </w:div>
    <w:div w:id="157662024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08068279">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12821651">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64311729">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44475192">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callahan@watech.wa.gov"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s://dialin.teams.microsoft.com/811a9140-4f87-4b3b-b4e5-c0df12d33f3f?id=28044262" TargetMode="External"/><Relationship Id="rId2" Type="http://schemas.openxmlformats.org/officeDocument/2006/relationships/customXml" Target="../customXml/item2.xml"/><Relationship Id="rId16" Type="http://schemas.openxmlformats.org/officeDocument/2006/relationships/hyperlink" Target="tel:+15649992000,,28044262" TargetMode="External"/><Relationship Id="rId20" Type="http://schemas.openxmlformats.org/officeDocument/2006/relationships/hyperlink" Target="mailto:michael.callahan@watech.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ms.microsoft.com/l/meetup-join/19%3ameeting_MjZiYjQ0ZDItMTUyNC00OTUxLTliOWYtZjU4NDNlNWJhMWY1%40thread.v2/0?context=%7b%22Tid%22%3a%2211d0e217-264e-400a-8ba0-57dcc127d72d%22%2c%22Oid%22%3a%221e6f73d1-3c4b-461c-870c-1f95cbcd62e8%22%7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atech.wa.gov/procurement-announc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ka.ms/JoinTeamsMeeting?omkt=en-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2.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3.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D4443-669A-4D89-922B-14302A64B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4525</Words>
  <Characters>25804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30269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3</cp:revision>
  <cp:lastPrinted>2019-11-19T16:48:00Z</cp:lastPrinted>
  <dcterms:created xsi:type="dcterms:W3CDTF">2025-03-21T22:15:00Z</dcterms:created>
  <dcterms:modified xsi:type="dcterms:W3CDTF">2025-03-26T20:03:00Z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